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Информационные материалы к Всемирному дню охраны труда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Международная организация труда (МОТ) отмечает 28 апреля Всемирный день охраны труда в целях содействия предотвращению несчастных случаев и профессиональных заболеваний на рабочих местах во всем мире. Эта информационно-разъяснительная компания призвана привлечь внимание общественности к проблемам в области охраны труда и к росту числа травм, заболеваний и смертельных случаев, связанных с трудовой деятельностью. Во всех регионах мира правительства, профсоюзные организации, организации работодателей и специалисты-практики в области охраны труда организуют мероприятия к Всемирному дню охраны труда.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Ежегодно МОТ отмечает Всемирный день охраны труда, уделяя особое внимание  какой-либо актуальной теме, связанной с безопасностью и гигиеной труда.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В этом году центральной темой станет </w:t>
      </w:r>
      <w:r w:rsidRPr="0050033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влияние изменения климата на безопасность и гигиену труда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Последнее десятилетие (2014−2023 годы), со средней температурой +8,1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>, оказалось теплее любого периода из предыдущих десятилетий. А средняя температура воздуха последних пяти лет (2019−2023 годы) составила +8,3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>, что выше климатической нормы на 1,1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С. Особенно выделяются 2019, 2020 и 2023 годы, ставшие самыми теплыми за всю историю метеонаблюдений (+ 8,8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С, + 9,1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 и + 8,7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 соответственно).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Говоря о климатических особенностях прошлого года, то средняя температура воздуха за 2023 год составила +8,7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 – это выше климатической нормы на 1,5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С. В летний период температура воздуха доходила до +30</w:t>
      </w:r>
      <w:r w:rsidRPr="00500332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0</w:t>
      </w:r>
      <w:r w:rsidRPr="00500332">
        <w:rPr>
          <w:rFonts w:ascii="Arial" w:eastAsia="Times New Roman" w:hAnsi="Arial" w:cs="Arial"/>
          <w:sz w:val="24"/>
          <w:szCs w:val="24"/>
          <w:lang w:eastAsia="ru-RU"/>
        </w:rPr>
        <w:t>С и выше.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Такие температурные аномалии требуют определенных действий от нанимателей в целях предотвращения несчастных случаев и ухудшения состояния здоровья работников, особенно выполняющих работы на открытом воздухе или в помещениях, не оборудованных системами вентиляции (кондиционирования). 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Работа в строительстве, сферах жилищно-коммунального хозяйства и др. в теплый и холодный периоды времени года выполняется на открытом воздухе, что вызывает для работающих потенциальный риск заболеваний и серьезных травм от пониженных или повышенных температур. </w:t>
      </w:r>
      <w:proofErr w:type="gramEnd"/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29 Закона Республики Беларусь «Об охране труда» работникам, выполняющим работы на открытом воздухе или в закрытых необогреваемых помещениях в холодный период года, а также отдельные виды работ, наряду с перерывом для отдыха и питания предоставляются дополнительные специальные перерывы в течение рабочего дня, включаемые в рабочее время (перерывы для обогревания, отдыха на погрузочно-разгрузочных и других работах).</w:t>
      </w:r>
      <w:proofErr w:type="gram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этих работ, продолжительность и порядок предоставления таких перерывов определяются правилами внутреннего трудового распорядка и (или) коллективным договором.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Для указанных работников наниматель обязан устанавливать режим работы, исключающий причинение вреда их жизни и здоровью при сильной жаре и сильном морозе.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Правилах по охране труда, утвержденных постановлением Министерства труда и социальной защиты Республики Беларусь от 1 июля 2021 г. № 53, дано определение, что понимается под сильной жарой и сильным морозом:</w:t>
      </w:r>
    </w:p>
    <w:p w:rsidR="00500332" w:rsidRPr="00500332" w:rsidRDefault="00500332" w:rsidP="005003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сильная жара – максимальная температура воздуха от +30</w:t>
      </w:r>
      <w:r w:rsidRPr="005003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  и выше;</w:t>
      </w:r>
    </w:p>
    <w:p w:rsidR="00500332" w:rsidRPr="00500332" w:rsidRDefault="00500332" w:rsidP="005003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сильный мороз – минимальная температура воздуха от –25</w:t>
      </w:r>
      <w:r w:rsidRPr="0050033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 ниже.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Гигиеническим нормативом «Микроклиматические показатели безопасности и безвредности на рабочих местах», утвержденным постановлением Совета Министров Республики Беларусь от 25 января   2021 г. № 37, установлены оптимальные и допустимые значения показателей безопасности и безвредности микроклимата на рабочих местах в производственных помещениях, транспортных средствах и общественных зданиях, в том числе в офисных помещениях и организациях здравоохранения.</w:t>
      </w:r>
      <w:proofErr w:type="gramEnd"/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Среднесменная температура воздуха, при которой работник находится в течение смены на рабочем месте и местах отдыха, не должна выходить за пределы допустимых значений температуры воздуха. В случае невозможности при аномальных температурах окружающего воздуха обеспечить допустимые значения показателей микроклимата должны приниматься дополнительные технические (установка дополнительных вентиляторов, обогревателей) или организационные меры (перерывы для охлаждения, обогрева).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При работе на открытом воздухе в соответствии с Санитарными нормами и правилами «Санитарно-эпидемиологические требования к условиям труда работающих, содержанию и эксплуатации производственных объектов», утвержденными постановлением Министерства здравоохранения Республики Беларусь от 19 июля 2023 г. № 114, для работающих должны быть предусмотрены мероприятия, включающие организацию режимов труда и отдыха, создание помещений для отдыха, обогрева и охлаждения.</w:t>
      </w:r>
      <w:proofErr w:type="gramEnd"/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В коллективных договорах организаций могут предусматриваться положения о смещении времени начала работ, увеличении количества регламентированных перерывов, устройстве укрытий от солнечных лучей и атмосферных осадков при работах на открытом воздухе, обеспечение работников бутилированной водой и другие.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В Республике Беларусь случаев получения работниками травм в связи с температурными аномалиями не зарегистрировано. Вместе с тем, зарегистрированы случаи гибели работников от иных природных явлений. Так, в 2022 году в результате удара молнии произошел групповой несчастный случай на производстве, при котором один работник погиб, а второй был тяжело травмирован.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В целом в организациях республики выстроена система работы по охране труда и профилактике производственного травматизма, что позволяет минимизировать риск несчастных случаев на производстве.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Основой обеспечения здоровых и безопасных условий труда в организациях является внедрение и функционирование систем управления охраной труда. В 2023 году системы управления охраной труда функционировали в 95 процентах организаций с численностью более 16 человек.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Для укомплектования организаций квалифицированными специалистами по охране труда продолжалась работа по переподготовке специалистов организаций на базе высшего образования по второй специальности «Охрана труда». По направлениям организаций в 15 учреждениях образования, осуществляющих переподготовку специалистов по охране труда, в 2023 году завершили обучение 201 человек, продолжают обучение 332 человека.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Справочно</w:t>
      </w:r>
      <w:proofErr w:type="spellEnd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Начиная с 2004 года такую переподготовку прошли более 3 </w:t>
      </w:r>
      <w:proofErr w:type="spellStart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тыс</w:t>
      </w:r>
      <w:proofErr w:type="gramStart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.ч</w:t>
      </w:r>
      <w:proofErr w:type="gramEnd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еловек</w:t>
      </w:r>
      <w:proofErr w:type="spellEnd"/>
      <w:r w:rsidRPr="0050033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соблюдения требований законодательства об охране труда в 2023 году продолжалась работа по повышению уровня квалификации руководителей и специалистов организаций в области охраны труда. В учреждениях образования прошли повышение квалификации по вопросам охраны труда 38,5 тысяч работников организаций. Органами государственного управления с участием государственных </w:t>
      </w:r>
      <w:proofErr w:type="gram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инспекторов Департамента государственной инспекции труда Министерства труда</w:t>
      </w:r>
      <w:proofErr w:type="gram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социальной защиты (Департамент государственной инспекции труда) организована проверка знаний у более 49 тыс. руководителей, должностных лиц, членов комиссий для проверки знаний работников организаций по вопросам охраны труда.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Эффективной формой работы по профилактике производственного травматизма стало проведение во всех регионах республики таких мероприятий, как «Неделя нулевого травматизма». В течение 2023 года проведено 43 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таких</w:t>
      </w:r>
      <w:proofErr w:type="gram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 мероприятия на областном уровне, 227 – на районном (городском) и 162 мероприятия на отраслевом уровне.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региона (г. Калинковичи, Брагинский и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Хотимский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районы) не имели случаев производственного травматизма не только в период проведения Недели нулевого травматизма, но и в течение всего года.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Продолжена практика такой формы профилактической работы как комплексное проведение мероприятий в рамках года безопасного труда с участием органов государственного управления, профсоюзов и организаций республики. В 2023 году реализован План мероприятий по проведению года безопасного труда в промышленности, утвержденный Министром промышленности Республики Беларусь и Министром труда и социальной защиты Республики Беларусь. В результате в отчетном периоде в организациях, подчиненных Министерству промышленности, не зарегистрировано несчастных случаев со смертельным исходом, а общий травматизм сократился на 10 процентов.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оказания руководителям и специалистам организаций практической и методической помощи в обеспечении безопасности труда при организации и проведении работ в 2023 году продолжили свою работу 136 мобильных групп, созданных местными исполнительными и распорядительными органами. В отчетном периоде ими проведено 15,3 тыс. обследований (таблица 1), в ходе которых нанимателям рекомендовано устранить более 158 тыс. недостатков в обеспечении безопасности работающих.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Сведения о деятельности мобильных групп в 2023 году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1656"/>
        <w:gridCol w:w="2769"/>
      </w:tblGrid>
      <w:tr w:rsidR="00500332" w:rsidRPr="00500332" w:rsidTr="00500332">
        <w:trPr>
          <w:tblCellSpacing w:w="0" w:type="dxa"/>
        </w:trPr>
        <w:tc>
          <w:tcPr>
            <w:tcW w:w="3744" w:type="dxa"/>
            <w:vMerge w:val="restart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8" w:type="dxa"/>
            <w:gridSpan w:val="2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проведенных обследований</w:t>
            </w:r>
          </w:p>
        </w:tc>
        <w:tc>
          <w:tcPr>
            <w:tcW w:w="2292" w:type="dxa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выявленных  нарушений требований безопасности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656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292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сельскохозяйственных организациях</w:t>
            </w:r>
          </w:p>
        </w:tc>
        <w:tc>
          <w:tcPr>
            <w:tcW w:w="1656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2292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строительных организациях </w:t>
            </w:r>
          </w:p>
        </w:tc>
        <w:tc>
          <w:tcPr>
            <w:tcW w:w="1656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2292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иных организациях</w:t>
            </w:r>
          </w:p>
        </w:tc>
        <w:tc>
          <w:tcPr>
            <w:tcW w:w="1656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2292" w:type="dxa"/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46,7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в период с июня по август 2023 года государственными инспекторами Департамента совместно с комитетами по труду, занятости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социальной защите облисполкомов и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Мингорисполкома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взаимодействии с профсоюзами проведено 485 мониторингов за обеспечением безопасных условий труда при осуществлении деятельности студенческих отрядов. Для придания этой работе системного характера Департаментом государственной инспекции труда подготовлено и направлено заинтересованным информационное письмо от 23 мая 2023 г. № 02-07/426 «О соблюдении требований законодательства при организации деятельности студенческих отрядов».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В целях пропаганды передового опыта организации работы по охране труда в период с 21-22 сентября 2023 года в г. Могилеве проведена IX Республиканская научно-практическая конференция «Создание здоровых и безопасных условий труда. Профилактика производственного травматизма».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привлечения внимания общественности к вопросам охраны труда продолжена работа по размещению соответствующей социальной рекламы в виде плакатов, баннеров и лент-растяжек, в том числе на транспортных средствах. Использовались и другие способы ее размещения, а именно путем трансляции роликов по охране труда по видеотерминалам общественного транспорта, телевидению, на электронно-информационных табло в местах массового пребывания граждан, а также в глобальной компьютерной сети Интернет.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Департамента государственной инспекции труда в 2023 году в сравнении с 2022 годом в организациях республики отмечается: </w:t>
      </w:r>
    </w:p>
    <w:p w:rsidR="00500332" w:rsidRPr="00500332" w:rsidRDefault="00500332" w:rsidP="00500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общего числа травмированных на производстве с 1781 до 1850 человек (на 3,9 процента);</w:t>
      </w:r>
    </w:p>
    <w:p w:rsidR="00500332" w:rsidRPr="00500332" w:rsidRDefault="00500332" w:rsidP="00500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случаев гибели  с 132 до 117 человек (на 11,4 процента);</w:t>
      </w:r>
    </w:p>
    <w:p w:rsidR="00500332" w:rsidRPr="00500332" w:rsidRDefault="00500332" w:rsidP="0050033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количества потерпевших, находящихся в момент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 опьянения, с 81 до 55 (на 32,1 процента) и случаев гибели потерпевших с 22 до 9 (</w:t>
      </w:r>
      <w:proofErr w:type="gram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59,1 процента).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Наибольшее количество несчастных случаев на производстве, в том числе со смертельным исходом, произошло в организациях Минской области (таблица 2).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2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Численность работающих, пострадавших в результате несчастных случаев на производстве (человек)</w:t>
      </w:r>
    </w:p>
    <w:tbl>
      <w:tblPr>
        <w:tblW w:w="7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908"/>
        <w:gridCol w:w="908"/>
        <w:gridCol w:w="909"/>
        <w:gridCol w:w="911"/>
        <w:gridCol w:w="910"/>
        <w:gridCol w:w="910"/>
      </w:tblGrid>
      <w:tr w:rsidR="00500332" w:rsidRPr="00500332" w:rsidTr="00500332">
        <w:trPr>
          <w:tblCellSpacing w:w="0" w:type="dxa"/>
        </w:trPr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% к 2022 г.</w:t>
            </w:r>
          </w:p>
        </w:tc>
        <w:tc>
          <w:tcPr>
            <w:tcW w:w="18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 со смертельным исходом</w:t>
            </w:r>
          </w:p>
        </w:tc>
        <w:tc>
          <w:tcPr>
            <w:tcW w:w="91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% к 2022г.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1781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88,6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Брестская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Витебская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Гомельская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Гродненская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 Минск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Минская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Могилевская 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124,8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88,2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пострадавших на производстве в отчетном периоде 1374 мужчины (74,3 %) и 476 женщин (25,3 %), в 2022 году – соответственно 1330 (74,7 %) и 451 (25,3 %).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Из 117 работающих, погибших на производстве в 2023 году, 112 мужчин (95,7 %) и 5 женщин (4,3 %), в 2022 году – соответственно 121 (91,7 %) и 11 (8,3 %). В 2023 году в результате несчастных случаев на производстве пострадало 15 работающих в возрасте моложе 18 лет, один из которых погиб (в 2022 году соответственно – 7 и 2).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Коэффициент частоты производственного травматизма (численность потерпевших на производстве в расчете на 100 тысяч застрахованных по обязательному страхованию от несчастных случаев на производстве и профессиональных заболеваний) в 2023 году составил 50,3 (в 2022 году – 47,4), коэффициент частоты смертельного </w:t>
      </w:r>
      <w:proofErr w:type="spell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>, снизился с 3,5  в 2022 году до 3,2 в 2023 году (таблица 3).</w:t>
      </w:r>
      <w:proofErr w:type="gramEnd"/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3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Уровень производственного травматизма в расчете на 100 тысяч застрахованных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80"/>
        <w:gridCol w:w="1344"/>
        <w:gridCol w:w="1380"/>
        <w:gridCol w:w="1296"/>
      </w:tblGrid>
      <w:tr w:rsidR="00500332" w:rsidRPr="00500332" w:rsidTr="00500332">
        <w:trPr>
          <w:tblCellSpacing w:w="0" w:type="dxa"/>
        </w:trPr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частоты производственного травматизма общий</w:t>
            </w:r>
          </w:p>
        </w:tc>
        <w:tc>
          <w:tcPr>
            <w:tcW w:w="26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частоты производственного травматизма со смертельным исходом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Брестская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Витебская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Гомельская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Гродненская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 Минск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Минская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Могилевская 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В 2023 году при эксплуатации объектов (выполнении работ), поднадзорных органам государственного специализированного надзора, общее количество работающих, получивших травмы на производстве, по сравнению с 2022 годом увеличилось на 7 человек, а число погибших уменьшилось на одного травмированного (таблица 4).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4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Численность работающих, пострадавших в результате несчастных случаев на производстве при эксплуатации объектов (выполнении работ), поднадзорных органам государственного специализированного надзора</w:t>
      </w:r>
    </w:p>
    <w:tbl>
      <w:tblPr>
        <w:tblW w:w="75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9"/>
        <w:gridCol w:w="852"/>
        <w:gridCol w:w="36"/>
        <w:gridCol w:w="874"/>
        <w:gridCol w:w="802"/>
        <w:gridCol w:w="792"/>
        <w:gridCol w:w="901"/>
        <w:gridCol w:w="780"/>
      </w:tblGrid>
      <w:tr w:rsidR="00500332" w:rsidRPr="00500332" w:rsidTr="00500332">
        <w:trPr>
          <w:tblCellSpacing w:w="0" w:type="dxa"/>
        </w:trPr>
        <w:tc>
          <w:tcPr>
            <w:tcW w:w="25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% к 2022 г.</w:t>
            </w:r>
          </w:p>
        </w:tc>
        <w:tc>
          <w:tcPr>
            <w:tcW w:w="17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 со смертельным исходом</w:t>
            </w:r>
          </w:p>
        </w:tc>
        <w:tc>
          <w:tcPr>
            <w:tcW w:w="7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% к 2022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1781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88,6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 эксплуатации объектов (выполнении работ), поднадзорных органам государственного специализированного надзора, </w:t>
            </w:r>
          </w:p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 в том числе: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результате дорожно-транспортных происшествий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выполнении строительных работ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эксплуатации опасных и потенциально опасных производственных объектов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эксплуатации электроустановок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142,1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воздействия дыма, огня и пламени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эксплуатации тракторов и сельскохозяйственной техники</w:t>
            </w:r>
          </w:p>
        </w:tc>
        <w:tc>
          <w:tcPr>
            <w:tcW w:w="88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"/>
                <w:szCs w:val="24"/>
                <w:lang w:eastAsia="ru-RU"/>
              </w:rPr>
            </w:pP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Среди травмированных и погибших на производстве наибольшее количество составляют работающие, занятые в промышленности (таблица 5).</w:t>
      </w:r>
      <w:proofErr w:type="gramEnd"/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5</w:t>
      </w: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Количество работающих, пострадавших в результате несчастных случаев на производстве, по видам экономической деятельности (человек)</w:t>
      </w:r>
    </w:p>
    <w:tbl>
      <w:tblPr>
        <w:tblW w:w="7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248"/>
        <w:gridCol w:w="1176"/>
        <w:gridCol w:w="1128"/>
        <w:gridCol w:w="1104"/>
      </w:tblGrid>
      <w:tr w:rsidR="00500332" w:rsidRPr="00500332" w:rsidTr="00500332">
        <w:trPr>
          <w:tblCellSpacing w:w="0" w:type="dxa"/>
        </w:trPr>
        <w:tc>
          <w:tcPr>
            <w:tcW w:w="3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/ удельный вес от их общего </w:t>
            </w: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количества, %</w:t>
            </w:r>
          </w:p>
        </w:tc>
        <w:tc>
          <w:tcPr>
            <w:tcW w:w="22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из них со смертельным </w:t>
            </w: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исходом / удельный вес от их общего количества,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1781/100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1850/100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132/100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117/100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промышленность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539/30,3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595/32,2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26/19,7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24/20,5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растениеводство и животноводство, охота и предоставление услуг в этих областях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423/23,8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429/23,2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29/22,0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25/21,4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219/12,3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237/12,8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25/18,9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31/26,5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149/8,4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131/7,1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23/17,4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18/15,4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оптовая и розничная торговля, ремонт автомобилей и мотоциклов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95/5,3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115/6,2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3/2,3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5/4,3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 и социальные услуги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56/3,1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63/3,4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44/2,5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34/1,8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2/1,5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1/0,9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лесоводство и лесозаготовки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41/2,3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33/1,8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4/3,0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3/2,7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40/2,2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48/2,6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4/3,0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6/5,1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водоснабжение, сбор, обработка и удаление отходов, деятельность по ликвидации загрязнений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19/1,1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21/1,1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4/3,0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1/0,9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виды деятельности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156/8,7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141/7,6</w:t>
            </w:r>
          </w:p>
        </w:tc>
        <w:tc>
          <w:tcPr>
            <w:tcW w:w="1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12/9,2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3/2,7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При этом самые высокие коэффициенты частоты </w:t>
      </w:r>
      <w:proofErr w:type="spell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 и гибели работающих в 2023 году, как и в 2022 году, отмечены в таких видах экономической деятельности как растениеводство и животноводство, охота и предоставление услуг в этих сферах, строительство, а также в промышленности (таблица 6).</w:t>
      </w:r>
      <w:proofErr w:type="gramEnd"/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6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Уровень производственного травматизма по видам экономической деятельности (на 100 тысяч работников)</w:t>
      </w:r>
    </w:p>
    <w:tbl>
      <w:tblPr>
        <w:tblW w:w="77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8"/>
        <w:gridCol w:w="1164"/>
        <w:gridCol w:w="1044"/>
        <w:gridCol w:w="1020"/>
        <w:gridCol w:w="1104"/>
      </w:tblGrid>
      <w:tr w:rsidR="00500332" w:rsidRPr="00500332" w:rsidTr="00500332">
        <w:trPr>
          <w:tblCellSpacing w:w="0" w:type="dxa"/>
        </w:trPr>
        <w:tc>
          <w:tcPr>
            <w:tcW w:w="34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частоты производственного травматизма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21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 смертельным исходом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сельское, лесное и рыбное хозяйство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промышленность 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водоснабжение, сбор, обработка и удаление отходов, деятельность по ликвидации загрязнений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52,8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оптовая и розничная торговля, ремонт автомобилей и мотоциклов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 и социальные услуги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В 2023 году наибольший удельный вес среди травмированных и погибших на производстве, составили работающие организаций коммунальной формы собственности (таблица 7).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Таблица 7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Количество работающих, пострадавших в результате несчастных случаев на производстве, по формам собственности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6"/>
        <w:gridCol w:w="1368"/>
        <w:gridCol w:w="1368"/>
        <w:gridCol w:w="1260"/>
        <w:gridCol w:w="1272"/>
      </w:tblGrid>
      <w:tr w:rsidR="00500332" w:rsidRPr="00500332" w:rsidTr="00500332">
        <w:trPr>
          <w:tblCellSpacing w:w="0" w:type="dxa"/>
        </w:trPr>
        <w:tc>
          <w:tcPr>
            <w:tcW w:w="26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/ удельный вес от их общего количества, %</w:t>
            </w:r>
          </w:p>
        </w:tc>
        <w:tc>
          <w:tcPr>
            <w:tcW w:w="25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 со смертельным исходом / удельный вес от их общего количества,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1781/100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1850/100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132/100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117/100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организации коммунальной формы собственности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712/40,0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747/40,4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46/34,8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49/41,9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организации частной формы собственности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563/31,6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626/33,8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54/40,9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43/36,8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 республиканской </w:t>
            </w: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формы собственности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506/28,4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477/25,8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32/24,3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25/21,3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Наибольший удельный вес среди пострадавших в 2023 году в результате несчастных случаев на производстве составили работающие в возрастном диапазоне «51 – 60 лет (включительно)» (таблица 8).</w:t>
      </w:r>
      <w:proofErr w:type="gramEnd"/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8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Количество  пострадавших в результате несчастных случаев на производстве в зависимости от возраста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1320"/>
        <w:gridCol w:w="1332"/>
        <w:gridCol w:w="1320"/>
        <w:gridCol w:w="1356"/>
      </w:tblGrid>
      <w:tr w:rsidR="00500332" w:rsidRPr="00500332" w:rsidTr="00500332">
        <w:trPr>
          <w:tblCellSpacing w:w="0" w:type="dxa"/>
        </w:trPr>
        <w:tc>
          <w:tcPr>
            <w:tcW w:w="23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/ удельный вес от их общего количества, %</w:t>
            </w:r>
          </w:p>
        </w:tc>
        <w:tc>
          <w:tcPr>
            <w:tcW w:w="26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 со смертельным исходом / от их общего количества,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18 лет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7/0,4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15/0,8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2/1,5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1/0,9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18 до 30 лет (включительно)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342/19,2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339/18,3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16/12,1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20/17,1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31 до 40 лет (включительно)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347/19,5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403/21,8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23/17,4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22/18,8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41 до 50 лет (включительно)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425/23,9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405/21,9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34/25,8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19/16,2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 51 до 60 лет (включительно)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485/27,2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529/28,6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35/26,5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41/35,0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старше 60 лет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175/9,8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159/8,6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22/16,7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14/12,0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показывает, что наиболее часто травмируются на производстве работники, имеющие стаж работы по профессии менее 5 лет, при этом каждый третий травмированный и погибший на момент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имел стаж работы по специальности менее одного года (таблица 9).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9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Удельный вес погибших 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в результате несчастных случаев на производстве в зависимости от стажа работы по профессии</w:t>
      </w:r>
      <w:proofErr w:type="gramEnd"/>
    </w:p>
    <w:tbl>
      <w:tblPr>
        <w:tblW w:w="769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9"/>
        <w:gridCol w:w="956"/>
        <w:gridCol w:w="956"/>
        <w:gridCol w:w="932"/>
        <w:gridCol w:w="954"/>
        <w:gridCol w:w="954"/>
        <w:gridCol w:w="1021"/>
      </w:tblGrid>
      <w:tr w:rsidR="00500332" w:rsidRPr="00500332" w:rsidTr="00500332">
        <w:trPr>
          <w:tblCellSpacing w:w="0" w:type="dxa"/>
        </w:trPr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 года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 года до 3 лет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10 до 20 лет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20 лет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7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травмированных</w:t>
            </w:r>
            <w:proofErr w:type="gramEnd"/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33,4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до 5 лет: 59,4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00332" w:rsidRPr="00500332" w:rsidTr="00500332">
        <w:trPr>
          <w:tblCellSpacing w:w="0" w:type="dxa"/>
        </w:trPr>
        <w:tc>
          <w:tcPr>
            <w:tcW w:w="17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т.ч</w:t>
            </w:r>
            <w:proofErr w:type="spell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погибших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0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 до 5 лет: 53,5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В 2023 году наибольшему риску </w:t>
      </w:r>
      <w:proofErr w:type="spell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 и гибели на производстве подвергались работники следующих профессий: водители автомобилей, слесари, подсобные рабочие и животноводы (таблица 10).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10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Основные профессии работающих, пострадавших в результате несчастных случаев на производстве в 2023 году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2"/>
        <w:gridCol w:w="1704"/>
        <w:gridCol w:w="1584"/>
      </w:tblGrid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них</w:t>
            </w:r>
          </w:p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погибших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Водитель автомобиля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Слесарь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Подсобный рабочий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Животновод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Тракторист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Оператор машинного доения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Электромонтер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Уборщик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Станочник деревообрабатывающих станков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Плотник (бетонщик)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Повар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Сторож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Вальщик леса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Штукатур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Каменщик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Полевод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Кладовщик 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Дорожный рабочий</w:t>
            </w:r>
          </w:p>
        </w:tc>
        <w:tc>
          <w:tcPr>
            <w:tcW w:w="1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производственного травматизма показал, что основными факторами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производстве в 2023 году явились воздействие движущихся, разлетающихся, вращающихся предметов и деталей, а также падение потерпевшего с высоты и во время передвижения. Удельный вес травмированных на производстве и погибших в 2023 и 2022 годах в организациях республики по основным видам происшествий приведен в таблице 11.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11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Удельный вес происшествий, повлекших </w:t>
      </w:r>
      <w:proofErr w:type="spell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травмирование</w:t>
      </w:r>
      <w:proofErr w:type="spell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 или гибель работников на производстве</w:t>
      </w:r>
    </w:p>
    <w:tbl>
      <w:tblPr>
        <w:tblW w:w="7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1008"/>
        <w:gridCol w:w="1020"/>
        <w:gridCol w:w="1008"/>
        <w:gridCol w:w="936"/>
      </w:tblGrid>
      <w:tr w:rsidR="00500332" w:rsidRPr="00500332" w:rsidTr="00500332">
        <w:trPr>
          <w:tblCellSpacing w:w="0" w:type="dxa"/>
        </w:trPr>
        <w:tc>
          <w:tcPr>
            <w:tcW w:w="37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Удельный вес от общего количества </w:t>
            </w: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травмированных</w:t>
            </w:r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94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от общего количества погибших,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движущихся, разлетающихся, вращающихся предметов, деталей и тому подобное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падение потерпевшего во время передвижения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падение потерпевшего с высоты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дорожно-транспортное происшествие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падение, обрушение конструкций зданий и сооружений, обвалы предметов, материалов, грунта и тому подобное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повреждения в результате контакта с представителями флоры и фауны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экстремальных температур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воздействие вредных веществ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нанесение травмы другим лицом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поражение электрическим током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падение потерпевшего в колодцы, ямы, траншеи, емкости и тому подобное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взрыв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отравление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пожар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асфиксия 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утопление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стихийные бедствия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3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11,8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завершенных расследований несчастных случаев на производстве свидетельствует, что большинство подобных происшествий в 2023 году обусловлено неисполнением работодателями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самими работающими требований охраны труда, причем это характерно для организаций всех форм собственности (таблица 12).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12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Удельный вес причин производственного травматизма</w:t>
      </w:r>
    </w:p>
    <w:tbl>
      <w:tblPr>
        <w:tblW w:w="7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5"/>
        <w:gridCol w:w="1670"/>
        <w:gridCol w:w="1165"/>
        <w:gridCol w:w="1357"/>
        <w:gridCol w:w="1087"/>
        <w:gridCol w:w="863"/>
      </w:tblGrid>
      <w:tr w:rsidR="00500332" w:rsidRPr="00500332" w:rsidTr="00500332">
        <w:trPr>
          <w:tblCellSpacing w:w="0" w:type="dxa"/>
        </w:trPr>
        <w:tc>
          <w:tcPr>
            <w:tcW w:w="1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Травматизм на производстве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Исключи-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вине 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работода</w:t>
            </w:r>
            <w:proofErr w:type="spell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-теля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Смешанная </w:t>
            </w:r>
            <w:proofErr w:type="spellStart"/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ответстве-нность</w:t>
            </w:r>
            <w:proofErr w:type="spellEnd"/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работода</w:t>
            </w:r>
            <w:proofErr w:type="spell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-теля и потерпев-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шего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Исключи-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вине </w:t>
            </w:r>
            <w:proofErr w:type="spell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потерпе-вшего</w:t>
            </w:r>
            <w:proofErr w:type="spell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 </w:t>
            </w:r>
            <w:proofErr w:type="spellStart"/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республиканс</w:t>
            </w:r>
            <w:proofErr w:type="spell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кой</w:t>
            </w:r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формы собственности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общий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38,1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организации коммунальной формы собственности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5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организации частной формы собственности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32,2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удельный вес несчастных случаев, происшедших из-за необеспечения работодателями (их должностными лицами) безопасных условий труда, продолжает оставаться значительным (таблица 13).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13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Удельный вес работающих, пострадавших в результате несчастных случаев на производстве, при наличии вины работодателя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2"/>
        <w:gridCol w:w="1248"/>
        <w:gridCol w:w="1164"/>
        <w:gridCol w:w="1452"/>
        <w:gridCol w:w="1380"/>
      </w:tblGrid>
      <w:tr w:rsidR="00500332" w:rsidRPr="00500332" w:rsidTr="00500332">
        <w:trPr>
          <w:tblCellSpacing w:w="0" w:type="dxa"/>
        </w:trPr>
        <w:tc>
          <w:tcPr>
            <w:tcW w:w="24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Удельный вес от общего количества </w:t>
            </w: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травмированных</w:t>
            </w:r>
            <w:proofErr w:type="gramEnd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8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от общего количества погибших,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г.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Брестская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Витебская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Гомельская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Гродненская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 Минск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Минская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Могилевская </w:t>
            </w:r>
          </w:p>
        </w:tc>
        <w:tc>
          <w:tcPr>
            <w:tcW w:w="1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70,6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53,3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несчастных случаев, происшедших из-за нарушения требований охраны труда должностными лицами и (или) работниками, по сравнению с 2022 годом снизился с 64,7 до 60,3 процента.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возросло количество несчастных случаев, происшедших при отсутствии опасного и (или) вредного производственного фактора из-за неосторожности потерпевшего, с 424 в 2022 году до 463 в 2023 году. Удельный вес таких несчастных случаев в отчетном периоде составил 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20,1 процента (в 2022 году – 18,3) (таблица 14).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14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Удельный вес основных причины несчастных случаев, произошедших в 2023 году</w:t>
      </w:r>
    </w:p>
    <w:tbl>
      <w:tblPr>
        <w:tblpPr w:leftFromText="36" w:rightFromText="36" w:vertAnchor="text"/>
        <w:tblW w:w="76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0"/>
        <w:gridCol w:w="820"/>
        <w:gridCol w:w="820"/>
      </w:tblGrid>
      <w:tr w:rsidR="00500332" w:rsidRPr="00500332" w:rsidTr="00500332">
        <w:trPr>
          <w:tblCellSpacing w:w="0" w:type="dxa"/>
        </w:trPr>
        <w:tc>
          <w:tcPr>
            <w:tcW w:w="60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158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от общего числа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причин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причин гибели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Со стороны потерпевших: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 трудовой дисциплины, требований нормативных правовых актов, технических нормативных правовых актов, локальных правовых актов по охране труда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 правил дорожного движения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 требований безопасности при эксплуатации транспортных средств, машин, механизмов, оборудования, оснастки, инструмента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нахождение в состоянии алкогольного опьянения либо в состоянии, вызванном потреблением наркотических средств, психотропных веществ, их аналогов, токсических или других одурманивающих веществ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неприменение выданных средств индивидуальной защиты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 стороны должностных лиц нанимателя: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невыполнение руководителями и специалистами обязанностей по охране труда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неудовлетворительное содержание и недостатки в организации рабочих мест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 потерпевших к работе без обучения и проверки знаний               по вопросам охраны труда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допуск потерпевших к работе без проведения стажировки по вопросам охраны труда и (или) инструктажа по охране труда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необеспечение потерпевшего средствами индивидуальной защиты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неудовлетворительное техническое состояние зданий, сооружений, территории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отсутствие, некачественная разработка проектной документации на строительство, реконструкцию производственных объектов, сооружений, оборудования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Продолжение таблицы 14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 требований проектной документации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конструктивные недостатки, несовершенство, недостаточная надежность средств производства (машин, механизмов, оборудования, оснастки, инструмента, транспортных средств) по охране труда</w:t>
            </w:r>
            <w:proofErr w:type="gramEnd"/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7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Среди прочих причин: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личная неосторожность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нарушение требований по охране труда другими работниками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2,9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нарушение правил дорожного движения другим </w:t>
            </w: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лицом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3,5</w:t>
            </w:r>
          </w:p>
        </w:tc>
        <w:tc>
          <w:tcPr>
            <w:tcW w:w="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4,3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Значительным остается удельный вес причин, обусловленных действиями самих потерпевших, в частности нарушение ими трудовой и производственной дисциплины, инструкций по охране труда, нахождение их в состоянии алкогольного опьянения.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Проблема появления работников на работе в состоянии алкогольного опьянения, распития спиртных напитков в рабочее время или по месту работы по-прежнему остается острой.</w:t>
      </w:r>
    </w:p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Департамента государственной инспекции труда в 2023 году по сравнению с 2022 годом количество работающих, находившихся в момент 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травмирования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 опьянения, снизилось с 81 до 55 человек и составило 3 процента от общего числа травмированных на производстве (таблица 15). Среди погибших на производстве в 2023 году в указанном состоянии находилось 9 человек (7,7 процента от общего числа погибших на производстве), в 2022 году – 22 человека (16,7 процента).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15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Количество </w:t>
      </w:r>
      <w:proofErr w:type="gramStart"/>
      <w:r w:rsidRPr="00500332">
        <w:rPr>
          <w:rFonts w:ascii="Arial" w:eastAsia="Times New Roman" w:hAnsi="Arial" w:cs="Arial"/>
          <w:sz w:val="24"/>
          <w:szCs w:val="24"/>
          <w:lang w:eastAsia="ru-RU"/>
        </w:rPr>
        <w:t>работающих</w:t>
      </w:r>
      <w:proofErr w:type="gramEnd"/>
      <w:r w:rsidRPr="00500332">
        <w:rPr>
          <w:rFonts w:ascii="Arial" w:eastAsia="Times New Roman" w:hAnsi="Arial" w:cs="Arial"/>
          <w:sz w:val="24"/>
          <w:szCs w:val="24"/>
          <w:lang w:eastAsia="ru-RU"/>
        </w:rPr>
        <w:t>, травмированных на производстве, в состоянии алкогольного опьянения в 2023 году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2"/>
        <w:gridCol w:w="1670"/>
        <w:gridCol w:w="684"/>
        <w:gridCol w:w="1943"/>
        <w:gridCol w:w="1675"/>
        <w:gridCol w:w="1675"/>
      </w:tblGrid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Травматизм на производстве</w:t>
            </w:r>
          </w:p>
        </w:tc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республиканской формы собственности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коммунальной формы собственности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частной формы собственности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Республика Беларусь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Брестская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Витебская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Гомельская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Продолжение таблицы 15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5"/>
        <w:gridCol w:w="1563"/>
        <w:gridCol w:w="684"/>
        <w:gridCol w:w="1943"/>
        <w:gridCol w:w="1675"/>
        <w:gridCol w:w="1675"/>
      </w:tblGrid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Травматизм на производстве</w:t>
            </w:r>
          </w:p>
        </w:tc>
        <w:tc>
          <w:tcPr>
            <w:tcW w:w="6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республиканской формы собственности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коммунальной формы собственности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частной формы собственности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Гродненская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г. Минск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Минская 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14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Могилевская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смертельный</w:t>
            </w:r>
          </w:p>
        </w:tc>
        <w:tc>
          <w:tcPr>
            <w:tcW w:w="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500332" w:rsidRPr="00500332" w:rsidRDefault="00500332" w:rsidP="00500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данным БРУСП «</w:t>
      </w:r>
      <w:proofErr w:type="spellStart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Белгосстрах</w:t>
      </w:r>
      <w:proofErr w:type="spellEnd"/>
      <w:r w:rsidRPr="0050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2023 году выплаты по обязательному страхованию от несчастных случаев на производстве и профессиональных заболеваний составили свыше 179,6 млн. рублей (в 2022 году – 160 млн. рублей). 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При этом около 90 процентов указанных выплат составляют ежемесячные страховые выплаты (таблица 16).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Таблица 16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 xml:space="preserve">Выплаты по обязательному страхованию от несчастных случаев на производстве и профессиональных заболеваний </w:t>
      </w:r>
    </w:p>
    <w:tbl>
      <w:tblPr>
        <w:tblW w:w="7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6"/>
        <w:gridCol w:w="1358"/>
        <w:gridCol w:w="1502"/>
      </w:tblGrid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Сумма, </w:t>
            </w:r>
          </w:p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от их общего количества, %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179 637,4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ежемесячные страховые выплаты 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160 508,1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89,4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пособия по временной нетрудоспособности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6 807,8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3,8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дополнительных расходов на медицинскую, социальную и профессиональную реабилитацию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6 416,2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единовременные страховые выплаты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2 764,8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возмещение Фонду социальной защиты населения расходов на выплату пенсий по инвалидности и по случаю потери кормильца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867,4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погребение 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</w:t>
            </w:r>
          </w:p>
        </w:tc>
      </w:tr>
      <w:tr w:rsidR="00500332" w:rsidRPr="00500332" w:rsidTr="00500332">
        <w:trPr>
          <w:tblCellSpacing w:w="0" w:type="dxa"/>
        </w:trPr>
        <w:tc>
          <w:tcPr>
            <w:tcW w:w="4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доплаты до среднемесячного заработка застрахованного, временно переведенного на более легкую нижеоплачиваемую работу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0332" w:rsidRPr="00500332" w:rsidRDefault="00500332" w:rsidP="00500332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03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0,003</w:t>
            </w:r>
          </w:p>
        </w:tc>
      </w:tr>
    </w:tbl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00332" w:rsidRPr="00500332" w:rsidRDefault="00500332" w:rsidP="0050033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033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A54C8A" w:rsidRDefault="00A54C8A">
      <w:bookmarkStart w:id="0" w:name="_GoBack"/>
      <w:bookmarkEnd w:id="0"/>
    </w:p>
    <w:sectPr w:rsidR="00A5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8102D"/>
    <w:multiLevelType w:val="multilevel"/>
    <w:tmpl w:val="A8E61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7D45B7"/>
    <w:multiLevelType w:val="multilevel"/>
    <w:tmpl w:val="7EDE8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DB"/>
    <w:rsid w:val="00014FDB"/>
    <w:rsid w:val="00500332"/>
    <w:rsid w:val="00A5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4172</Words>
  <Characters>23783</Characters>
  <Application>Microsoft Office Word</Application>
  <DocSecurity>0</DocSecurity>
  <Lines>198</Lines>
  <Paragraphs>55</Paragraphs>
  <ScaleCrop>false</ScaleCrop>
  <Company>home</Company>
  <LinksUpToDate>false</LinksUpToDate>
  <CharactersWithSpaces>27900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u108</cp:lastModifiedBy>
  <cp:revision>3</cp:revision>
  <dcterms:created xsi:type="dcterms:W3CDTF">2024-07-24T09:46:00Z</dcterms:created>
  <dcterms:modified xsi:type="dcterms:W3CDTF">2024-07-24T09:46:00Z</dcterms:modified>
</cp:coreProperties>
</file>