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02" w:rsidRPr="00086902" w:rsidRDefault="00086902" w:rsidP="004D1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02">
        <w:rPr>
          <w:rFonts w:ascii="Times New Roman" w:hAnsi="Times New Roman" w:cs="Times New Roman"/>
          <w:b/>
          <w:sz w:val="24"/>
          <w:szCs w:val="24"/>
        </w:rPr>
        <w:t>Форма предложения инвестиционного проекта ОАО «БАГУ»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56"/>
        <w:gridCol w:w="4472"/>
        <w:gridCol w:w="4854"/>
      </w:tblGrid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854" w:type="dxa"/>
          </w:tcPr>
          <w:p w:rsidR="00AD38C9" w:rsidRPr="00606066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6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name</w:t>
            </w:r>
          </w:p>
        </w:tc>
      </w:tr>
      <w:tr w:rsidR="00AD38C9" w:rsidRPr="004D1766" w:rsidTr="00AD38C9">
        <w:tc>
          <w:tcPr>
            <w:tcW w:w="456" w:type="dxa"/>
            <w:vMerge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3D81" w:rsidRPr="00897350" w:rsidRDefault="003D21B9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2">
              <w:rPr>
                <w:rFonts w:ascii="Times New Roman" w:hAnsi="Times New Roman" w:cs="Times New Roman"/>
                <w:sz w:val="24"/>
                <w:szCs w:val="24"/>
              </w:rPr>
              <w:t>«Создание современного гибкого авт</w:t>
            </w:r>
            <w:r w:rsidRPr="00761D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D52">
              <w:rPr>
                <w:rFonts w:ascii="Times New Roman" w:hAnsi="Times New Roman" w:cs="Times New Roman"/>
                <w:sz w:val="24"/>
                <w:szCs w:val="24"/>
              </w:rPr>
              <w:t>матизированного производства узлов рулевого управления для комплектации автомобильной техники»</w:t>
            </w:r>
            <w:r w:rsidR="00EE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AD38C9" w:rsidRPr="00E663C2" w:rsidRDefault="008012B7" w:rsidP="00B94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01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 of a moder</w:t>
            </w:r>
            <w:r w:rsidR="00BE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flexible automotive</w:t>
            </w:r>
            <w:r w:rsidRPr="00801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manufac</w:t>
            </w:r>
            <w:r w:rsidR="00BE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turing</w:t>
            </w:r>
            <w:r w:rsidR="00B9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steering control units for </w:t>
            </w:r>
            <w:r w:rsidR="00B94F57" w:rsidRPr="00801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94F57" w:rsidRPr="00801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94F57" w:rsidRPr="00801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 vehicles</w:t>
            </w:r>
            <w:r w:rsidR="00B9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1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B9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sembly”</w:t>
            </w: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4854" w:type="dxa"/>
          </w:tcPr>
          <w:p w:rsidR="00AD38C9" w:rsidRPr="00897350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Sector</w:t>
            </w:r>
          </w:p>
        </w:tc>
      </w:tr>
      <w:tr w:rsidR="00AD38C9" w:rsidRPr="004D1766" w:rsidTr="00AD38C9">
        <w:tc>
          <w:tcPr>
            <w:tcW w:w="456" w:type="dxa"/>
            <w:vMerge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D38C9" w:rsidRDefault="00897350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  <w:p w:rsidR="00903D81" w:rsidRPr="00897350" w:rsidRDefault="00897350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автокомпонентов</w:t>
            </w:r>
          </w:p>
        </w:tc>
        <w:tc>
          <w:tcPr>
            <w:tcW w:w="4854" w:type="dxa"/>
          </w:tcPr>
          <w:p w:rsidR="00E663C2" w:rsidRDefault="00B94F57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 engineering.</w:t>
            </w:r>
          </w:p>
          <w:p w:rsidR="00B94F57" w:rsidRPr="00E663C2" w:rsidRDefault="00826620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Production of automotive components </w:t>
            </w:r>
            <w:r w:rsidR="0006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086902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AD38C9" w:rsidRPr="00086902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</w:p>
        </w:tc>
        <w:tc>
          <w:tcPr>
            <w:tcW w:w="4854" w:type="dxa"/>
          </w:tcPr>
          <w:p w:rsidR="00AD38C9" w:rsidRPr="00897350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</w:t>
            </w:r>
            <w:r w:rsidRPr="0089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initiator</w:t>
            </w:r>
            <w:r w:rsidRPr="0089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="0006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8C9" w:rsidRPr="00627897" w:rsidTr="00AD38C9">
        <w:tc>
          <w:tcPr>
            <w:tcW w:w="456" w:type="dxa"/>
            <w:vMerge/>
          </w:tcPr>
          <w:p w:rsidR="00AD38C9" w:rsidRPr="00086902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3D81" w:rsidRPr="00086902" w:rsidRDefault="00A3274C" w:rsidP="00A327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«Автогидр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усилитель»</w:t>
            </w:r>
          </w:p>
        </w:tc>
        <w:tc>
          <w:tcPr>
            <w:tcW w:w="4854" w:type="dxa"/>
          </w:tcPr>
          <w:p w:rsidR="00AD38C9" w:rsidRPr="00C1513E" w:rsidRDefault="00826620" w:rsidP="00627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“</w:t>
            </w:r>
            <w:proofErr w:type="spellStart"/>
            <w:r w:rsidR="0090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</w:t>
            </w:r>
            <w:proofErr w:type="spellEnd"/>
            <w:r w:rsidR="0090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 “</w:t>
            </w:r>
            <w:proofErr w:type="spellStart"/>
            <w:r w:rsidR="0090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2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vtogydrousilitel</w:t>
            </w:r>
            <w:proofErr w:type="spellEnd"/>
            <w:r w:rsidR="003E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086902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AD38C9" w:rsidRPr="00086902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4854" w:type="dxa"/>
          </w:tcPr>
          <w:p w:rsidR="00AD38C9" w:rsidRPr="00897350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</w:t>
            </w:r>
            <w:r w:rsidRPr="0089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location</w:t>
            </w:r>
          </w:p>
        </w:tc>
      </w:tr>
      <w:tr w:rsidR="00AD38C9" w:rsidRPr="004D1766" w:rsidTr="00AD38C9">
        <w:tc>
          <w:tcPr>
            <w:tcW w:w="456" w:type="dxa"/>
            <w:vMerge/>
          </w:tcPr>
          <w:p w:rsidR="00AD38C9" w:rsidRPr="00086902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D38C9" w:rsidRPr="00086902" w:rsidRDefault="00897350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г. </w:t>
            </w:r>
            <w:r w:rsidR="00A3274C" w:rsidRPr="0008690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:rsidR="00903D81" w:rsidRPr="00086902" w:rsidRDefault="00903D81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D38C9" w:rsidRPr="00426CA1" w:rsidRDefault="00627897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Republic of Belarus,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</w:t>
            </w:r>
            <w:proofErr w:type="spellEnd"/>
            <w:r w:rsidR="00426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city</w:t>
            </w:r>
          </w:p>
        </w:tc>
      </w:tr>
      <w:tr w:rsidR="00AD38C9" w:rsidRPr="004D1766" w:rsidTr="00AD38C9">
        <w:tc>
          <w:tcPr>
            <w:tcW w:w="456" w:type="dxa"/>
          </w:tcPr>
          <w:p w:rsidR="00AD38C9" w:rsidRPr="00086902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AD38C9" w:rsidRPr="00086902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инвестора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74C" w:rsidRPr="00086902">
              <w:rPr>
                <w:rFonts w:ascii="Times New Roman" w:hAnsi="Times New Roman" w:cs="Times New Roman"/>
                <w:sz w:val="24"/>
                <w:szCs w:val="24"/>
              </w:rPr>
              <w:t>Долгосро</w:t>
            </w:r>
            <w:r w:rsidR="00A3274C" w:rsidRPr="000869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3274C" w:rsidRPr="00086902">
              <w:rPr>
                <w:rFonts w:ascii="Times New Roman" w:hAnsi="Times New Roman" w:cs="Times New Roman"/>
                <w:sz w:val="24"/>
                <w:szCs w:val="24"/>
              </w:rPr>
              <w:t>ный иностранный связанный кредит</w:t>
            </w:r>
          </w:p>
        </w:tc>
        <w:tc>
          <w:tcPr>
            <w:tcW w:w="4854" w:type="dxa"/>
          </w:tcPr>
          <w:p w:rsidR="00AD38C9" w:rsidRDefault="00606066" w:rsidP="003D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 of investor participation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6CA1" w:rsidRPr="00606066" w:rsidRDefault="00905A3F" w:rsidP="003D2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Long-term international connected</w:t>
            </w:r>
            <w:r w:rsidR="007E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credit 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086902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</w:tcPr>
          <w:p w:rsidR="00AD38C9" w:rsidRPr="00086902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проекта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проекта, цели) </w:t>
            </w:r>
          </w:p>
        </w:tc>
        <w:tc>
          <w:tcPr>
            <w:tcW w:w="4854" w:type="dxa"/>
          </w:tcPr>
          <w:p w:rsidR="00AD38C9" w:rsidRPr="00606066" w:rsidRDefault="00606066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concept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(project description, goals)</w:t>
            </w:r>
          </w:p>
        </w:tc>
      </w:tr>
      <w:tr w:rsidR="00AD38C9" w:rsidRPr="004D1766" w:rsidTr="00AD38C9">
        <w:tc>
          <w:tcPr>
            <w:tcW w:w="456" w:type="dxa"/>
            <w:vMerge/>
          </w:tcPr>
          <w:p w:rsidR="00AD38C9" w:rsidRPr="00086902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A3274C" w:rsidRPr="00086902" w:rsidRDefault="00A3274C" w:rsidP="00A327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Основной концепцией данного проекта является обоснование инвестиций, нео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ходимых ОАО «Борисовский завод «А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тогидроусилитель» для создания совр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 xml:space="preserve">менного </w:t>
            </w:r>
            <w:proofErr w:type="spellStart"/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086902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ства с высокой производительностью труда, способного оперативно перестр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иваться под изменения требований ры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ка и обеспечивать высокое качество пр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 xml:space="preserve">дукции. </w:t>
            </w:r>
          </w:p>
          <w:p w:rsidR="00A3274C" w:rsidRPr="00086902" w:rsidRDefault="00A3274C" w:rsidP="00A327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Реализация данного проекта позволит предприятию осуществить модерниз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цию действующего производства с отк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зом от жестких поточных линий, созд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ние мощностей по производству новой продукции, в том числе и систем рулев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го управления реечного типа для авт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мобилей «БЕЛДЖИ», внедрение совр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менных энергосберегающих технологий, специализация производства механич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ских цехов по группам деталей.</w:t>
            </w:r>
          </w:p>
          <w:p w:rsidR="00903D81" w:rsidRPr="00086902" w:rsidRDefault="00A3274C" w:rsidP="004D176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Детали систем рулевого управления планируется обрабатывать с использов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нием прогрессивного современного те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нологического оборудования, позвол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ющего производить комплексную обр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ботку различных деталей в автоматич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ском и полуавтоматическом режимах. Внедрение современных технологий о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работки деталей позволит создать выс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копроизводительные рабочие места.</w:t>
            </w:r>
          </w:p>
        </w:tc>
        <w:tc>
          <w:tcPr>
            <w:tcW w:w="4854" w:type="dxa"/>
          </w:tcPr>
          <w:p w:rsidR="00AD38C9" w:rsidRDefault="0018706F" w:rsidP="00D24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main concept of this project is to validate investments, </w:t>
            </w:r>
            <w:r w:rsidR="003E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 for JSC “</w:t>
            </w:r>
            <w:proofErr w:type="spellStart"/>
            <w:r w:rsidR="003E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</w:t>
            </w:r>
            <w:proofErr w:type="spellEnd"/>
            <w:r w:rsidR="003E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 “</w:t>
            </w:r>
            <w:proofErr w:type="spellStart"/>
            <w:r w:rsidR="003E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Avtogydrousilitel</w:t>
            </w:r>
            <w:proofErr w:type="spellEnd"/>
            <w:r w:rsidR="003E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to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create </w:t>
            </w:r>
            <w:r w:rsidR="003E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</w:t>
            </w:r>
            <w:r w:rsidR="003E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gy-efficient production</w:t>
            </w:r>
            <w:r w:rsidR="00250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 productivity, c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="0084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 to rearrange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market 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 and en</w:t>
            </w:r>
            <w:r w:rsidR="0054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 high quality of products.</w:t>
            </w:r>
          </w:p>
          <w:p w:rsidR="0018706F" w:rsidRDefault="0018706F" w:rsidP="00D24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mplementation of this project will allow the company</w:t>
            </w:r>
            <w:r w:rsidR="00160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carry out modernization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exist</w:t>
            </w:r>
            <w:r w:rsidR="00160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production with </w:t>
            </w:r>
            <w:r w:rsidR="00C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refusal from rigid flow line</w:t>
            </w:r>
            <w:proofErr w:type="gramStart"/>
            <w:r w:rsidR="00C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F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create</w:t>
            </w:r>
            <w:proofErr w:type="gramEnd"/>
            <w:r w:rsidR="00CD6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capa</w:t>
            </w:r>
            <w:r w:rsidR="005D3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cities for production of new items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including </w:t>
            </w:r>
            <w:r w:rsidR="00D6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rack </w:t>
            </w:r>
            <w:r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steer</w:t>
            </w:r>
            <w:r w:rsidR="005D3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</w:t>
            </w:r>
            <w:r w:rsidR="005D336B"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="006C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0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“BELGEE</w:t>
            </w:r>
            <w:r w:rsidR="00D6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implementation</w:t>
            </w:r>
            <w:r w:rsidR="009B3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modern </w:t>
            </w:r>
            <w:r w:rsidR="00D77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energy-saving tec</w:t>
            </w:r>
            <w:r w:rsidR="00D77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C2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nologies</w:t>
            </w:r>
            <w:r w:rsidR="00F63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8706F" w:rsidRPr="00122E56" w:rsidRDefault="00FB1511" w:rsidP="00D24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</w:t>
            </w:r>
            <w:r w:rsidR="0018706F"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steering system</w:t>
            </w:r>
            <w:r w:rsidR="00FA4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is planned</w:t>
            </w:r>
            <w:r w:rsidR="0018706F"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</w:t>
            </w:r>
            <w:r w:rsidR="0018706F"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8706F"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cess with using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progressive modern technical</w:t>
            </w:r>
            <w:r w:rsidR="0018706F"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EA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quipment, allowing to produce </w:t>
            </w:r>
            <w:r w:rsidR="00EA71CA" w:rsidRPr="00EA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pr</w:t>
            </w:r>
            <w:r w:rsidR="00EA71CA" w:rsidRPr="00EA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A71CA" w:rsidRPr="00EA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cessing </w:t>
            </w:r>
            <w:r w:rsidR="0018706F"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various parts in automatic and semi-</w:t>
            </w:r>
            <w:r w:rsidR="00656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 conditions. Im</w:t>
            </w:r>
            <w:r w:rsidR="00FA4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56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lementation</w:t>
            </w:r>
            <w:r w:rsidR="0018706F"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modern technologies for processing, parts will create </w:t>
            </w:r>
            <w:proofErr w:type="gramStart"/>
            <w:r w:rsidR="0018706F" w:rsidRPr="0018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3E6DFD" w:rsidRPr="003E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highly</w:t>
            </w:r>
            <w:proofErr w:type="gramEnd"/>
            <w:r w:rsidR="003E6DFD" w:rsidRPr="003E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-productive</w:t>
            </w:r>
            <w:r w:rsidR="003E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places. 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проекта, лет</w:t>
            </w:r>
          </w:p>
        </w:tc>
        <w:tc>
          <w:tcPr>
            <w:tcW w:w="4854" w:type="dxa"/>
          </w:tcPr>
          <w:p w:rsidR="00AD38C9" w:rsidRPr="0016747F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Period for project implementation, years</w:t>
            </w:r>
          </w:p>
        </w:tc>
      </w:tr>
      <w:tr w:rsidR="00903D81" w:rsidRPr="00606066" w:rsidTr="00A977EF">
        <w:tc>
          <w:tcPr>
            <w:tcW w:w="456" w:type="dxa"/>
            <w:vMerge/>
          </w:tcPr>
          <w:p w:rsidR="00903D81" w:rsidRPr="00606066" w:rsidRDefault="00903D81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3D21B9" w:rsidRPr="00CD4C1A" w:rsidRDefault="003D21B9" w:rsidP="003D21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3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Период</w:t>
            </w:r>
            <w:r w:rsidRPr="00CD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3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реализации</w:t>
            </w:r>
            <w:r w:rsidRPr="00CD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3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проекта</w:t>
            </w:r>
            <w:r w:rsidRPr="00CD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– 2016-2037 </w:t>
            </w:r>
            <w:proofErr w:type="spellStart"/>
            <w:r w:rsidRPr="003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гг</w:t>
            </w:r>
            <w:proofErr w:type="spellEnd"/>
            <w:r w:rsidRPr="00CD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.;</w:t>
            </w:r>
            <w:r w:rsidR="00CD4C1A" w:rsidRPr="00CD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 for project implementation</w:t>
            </w:r>
            <w:r w:rsidR="00CD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– 2016-2037</w:t>
            </w:r>
          </w:p>
          <w:p w:rsidR="00903D81" w:rsidRPr="007448BE" w:rsidRDefault="003D21B9" w:rsidP="003D21B9">
            <w:pPr>
              <w:tabs>
                <w:tab w:val="left" w:pos="1095"/>
                <w:tab w:val="center" w:pos="4555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Использование инвестиций – 2016-2022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Usage of investments – 2016-2022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стадия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 на данном этапе, степень 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854" w:type="dxa"/>
          </w:tcPr>
          <w:p w:rsidR="00AD38C9" w:rsidRPr="00606066" w:rsidRDefault="00606066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stage of the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 have been done, degree of project readiness)</w:t>
            </w:r>
          </w:p>
        </w:tc>
      </w:tr>
      <w:tr w:rsidR="00AD38C9" w:rsidRPr="004D1766" w:rsidTr="00AD38C9">
        <w:tc>
          <w:tcPr>
            <w:tcW w:w="456" w:type="dxa"/>
            <w:vMerge/>
          </w:tcPr>
          <w:p w:rsidR="00AD38C9" w:rsidRPr="00606066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3D21B9" w:rsidRPr="003D21B9" w:rsidRDefault="003D21B9" w:rsidP="003D21B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данное время проводится открытый конкурс на закупку 16 единиц металло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ежущего оборудования.</w:t>
            </w:r>
          </w:p>
          <w:p w:rsidR="003D21B9" w:rsidRPr="003D21B9" w:rsidRDefault="003D21B9" w:rsidP="003D21B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D38C9" w:rsidRPr="007448BE" w:rsidRDefault="007448BE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present has been carried out </w:t>
            </w:r>
            <w:r w:rsidR="00EC1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88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tender </w:t>
            </w:r>
            <w:r w:rsidR="00EC1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="00E4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purchasing 16</w:t>
            </w:r>
            <w:r w:rsidR="00522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psc. </w:t>
            </w:r>
            <w:proofErr w:type="gramStart"/>
            <w:r w:rsidR="00522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="00522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cutting equipment</w:t>
            </w:r>
            <w:r w:rsidR="00831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обзор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(технологии, услуги) </w:t>
            </w:r>
          </w:p>
        </w:tc>
        <w:tc>
          <w:tcPr>
            <w:tcW w:w="4854" w:type="dxa"/>
          </w:tcPr>
          <w:p w:rsidR="00AD38C9" w:rsidRPr="0016747F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 (technology, service) overview</w:t>
            </w:r>
          </w:p>
        </w:tc>
      </w:tr>
      <w:tr w:rsidR="00AD38C9" w:rsidRPr="004D1766" w:rsidTr="00AD38C9">
        <w:tc>
          <w:tcPr>
            <w:tcW w:w="456" w:type="dxa"/>
            <w:vMerge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D21B9" w:rsidRPr="003D21B9" w:rsidRDefault="003D21B9" w:rsidP="00495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ОАО «Борисовский завод «Автогидр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усилитель» специализируется на прои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водстве автомобильных компонентов рулевого управления для широкой га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 автомобильной техники, обеспечив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 комплектацию автосборочных ко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вейеров крупнейших автозаводов Ре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публики Беларусь, Российской Федер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ции.</w:t>
            </w:r>
          </w:p>
          <w:p w:rsidR="003D21B9" w:rsidRPr="003D21B9" w:rsidRDefault="003D21B9" w:rsidP="00495A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Реализация данного инвестиционного проекта позволит предприятию освоить производство перспективной продукции:</w:t>
            </w:r>
          </w:p>
          <w:p w:rsidR="003D21B9" w:rsidRPr="003D21B9" w:rsidRDefault="003D21B9" w:rsidP="00495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насос гидроусилителя руля и его мод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фикации для ПАО «КАМАЗ», ПАО «</w:t>
            </w:r>
            <w:proofErr w:type="spellStart"/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ЛиАЗ</w:t>
            </w:r>
            <w:proofErr w:type="spellEnd"/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ОАО «МАЗ», ПАО «УАЗ», ПАО «ЯМЗ»;</w:t>
            </w:r>
          </w:p>
          <w:p w:rsidR="003D21B9" w:rsidRPr="003D21B9" w:rsidRDefault="003D21B9" w:rsidP="00495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механизм рулевого управления и его модификации ПАО «АЗ </w:t>
            </w:r>
            <w:r w:rsidR="00812E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УРАЛ», ПАО «КАМАЗ», ОАО «МАЗ», 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ПАО «</w:t>
            </w:r>
            <w:proofErr w:type="spellStart"/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ЛиАЗ</w:t>
            </w:r>
            <w:proofErr w:type="spellEnd"/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ПАО «УАЗ», ООО «ВИЦ», ОАО «МЗКТ»;</w:t>
            </w:r>
          </w:p>
          <w:p w:rsidR="003D21B9" w:rsidRPr="003D21B9" w:rsidRDefault="003D21B9" w:rsidP="00ED3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реечный рулевой механизм;</w:t>
            </w:r>
          </w:p>
          <w:p w:rsidR="003D21B9" w:rsidRPr="003D21B9" w:rsidRDefault="003D21B9" w:rsidP="00ED3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двухконтурная система рулевого управления для ОАО «МАЗ», ПАО «КАМАЗ», ОАО «МЗКТ»;</w:t>
            </w:r>
          </w:p>
          <w:p w:rsidR="003D21B9" w:rsidRPr="003D21B9" w:rsidRDefault="003D21B9" w:rsidP="00ED3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рулевой механизм с переменным пер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даточным отношением;</w:t>
            </w:r>
          </w:p>
          <w:p w:rsidR="00903D81" w:rsidRPr="00B565C3" w:rsidRDefault="003D21B9" w:rsidP="00ED3C01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разработка систем рулевого управления и других систем автотранспортных средств с учетом тенденций развития науки и техники (с использованием электрических приводов и электронных систем управления, а также модульного принципа построения систем).</w:t>
            </w:r>
          </w:p>
        </w:tc>
        <w:tc>
          <w:tcPr>
            <w:tcW w:w="4854" w:type="dxa"/>
          </w:tcPr>
          <w:p w:rsidR="002D632E" w:rsidRDefault="00272133" w:rsidP="002D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Avtogydrousilitel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2D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</w:t>
            </w:r>
            <w:r w:rsidR="0049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9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izes in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production of automotive steering co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0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ponents for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wid</w:t>
            </w:r>
            <w:r w:rsidR="002D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range of automotive vehicles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provides a complete set of car assembly co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veyors of the largest car factories of </w:t>
            </w:r>
            <w:r w:rsidR="007E4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Repu</w:t>
            </w:r>
            <w:r w:rsidR="007E4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E4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 of 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Belarus, the Russian Federation.</w:t>
            </w:r>
          </w:p>
          <w:p w:rsidR="001D4AEE" w:rsidRDefault="003A7736" w:rsidP="002D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8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mplementation of the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investment project will allow</w:t>
            </w:r>
            <w:r w:rsidR="00D8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company to develop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production of promising products:</w:t>
            </w:r>
          </w:p>
          <w:p w:rsidR="001D4AEE" w:rsidRDefault="001D4AEE" w:rsidP="002D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 steering pump and</w:t>
            </w:r>
            <w:r w:rsidR="00492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its modifications for the PAO “KAMAZ”, PJSC “LIAZ”, JSC “MAZ”, PJSC “UAZ”, PJSC “</w:t>
            </w:r>
            <w:proofErr w:type="spellStart"/>
            <w:r w:rsidR="00492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YaMZ</w:t>
            </w:r>
            <w:proofErr w:type="spellEnd"/>
            <w:r w:rsidR="00492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66320" w:rsidRDefault="001D4AEE" w:rsidP="002D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teering equipm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 and its modifications PJSC “AZ URAL”, PJSC “KAMAZ”, OAO “MAZ”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PJS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“LIAZ”</w:t>
            </w:r>
            <w:r w:rsidR="0081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PJSC “UAZ”, LLC “VITS</w:t>
            </w:r>
            <w:r w:rsidR="009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JSC “Minsk Wheel Tractor Plant”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536DE" w:rsidRDefault="00426F36" w:rsidP="002D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D5EB3" w:rsidRPr="00AD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rack-and-pinion steering gear</w:t>
            </w:r>
            <w:r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66320" w:rsidRDefault="00AD5EB3" w:rsidP="002D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</w:t>
            </w:r>
            <w:r w:rsidR="009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ual steering system </w:t>
            </w:r>
            <w:r w:rsidR="003A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JSC “MAZ”, PJSC “KAMAZ”, JSC</w:t>
            </w:r>
            <w:r w:rsidR="009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“Minsk Wheel Tractor Plant”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D3C01" w:rsidRDefault="00ED3C01" w:rsidP="002D6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teering with a variable transmission ratio;</w:t>
            </w:r>
          </w:p>
          <w:p w:rsidR="00AD38C9" w:rsidRPr="00D24EDC" w:rsidRDefault="00ED3C01" w:rsidP="003A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evelopment</w:t>
            </w:r>
            <w:proofErr w:type="gramEnd"/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steering systems and other vehicle systems, taking into account trends in development of science and technology (wi</w:t>
            </w:r>
            <w:r w:rsidR="008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 the use of electric motor drive</w:t>
            </w:r>
            <w:r w:rsidR="00426F36" w:rsidRPr="0042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electronic control systems, as well as modularity systems).</w:t>
            </w:r>
            <w:r w:rsidR="003A7736" w:rsidRPr="00D24E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преимущества проекта, конкурентные преимущества проду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854" w:type="dxa"/>
          </w:tcPr>
          <w:p w:rsidR="00AD38C9" w:rsidRPr="0016747F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advantages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competitive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advantages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project</w:t>
            </w:r>
          </w:p>
        </w:tc>
      </w:tr>
      <w:tr w:rsidR="00AD38C9" w:rsidRPr="004D1766" w:rsidTr="00AD38C9">
        <w:tc>
          <w:tcPr>
            <w:tcW w:w="456" w:type="dxa"/>
            <w:vMerge/>
          </w:tcPr>
          <w:p w:rsidR="00AD38C9" w:rsidRPr="00606066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3D21B9" w:rsidRPr="003D21B9" w:rsidRDefault="003D21B9" w:rsidP="0007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Данный инвестиционный проект являе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ся рентабельным и окупаемым. Успе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ная его реализация позволит предпри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тию:</w:t>
            </w:r>
          </w:p>
          <w:p w:rsidR="003D21B9" w:rsidRPr="003D21B9" w:rsidRDefault="003D21B9" w:rsidP="003D21B9">
            <w:pPr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снизить затраты;</w:t>
            </w:r>
          </w:p>
          <w:p w:rsidR="003D21B9" w:rsidRPr="003D21B9" w:rsidRDefault="003D21B9" w:rsidP="003D21B9">
            <w:pPr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повысить рентабельность;</w:t>
            </w:r>
          </w:p>
          <w:p w:rsidR="003D21B9" w:rsidRPr="003D21B9" w:rsidRDefault="003D21B9" w:rsidP="003D21B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самостоятельно и в срок рассчитаться по долгосрочным обязательствам по проекту;</w:t>
            </w:r>
          </w:p>
          <w:p w:rsidR="003D21B9" w:rsidRPr="003D21B9" w:rsidRDefault="003D21B9" w:rsidP="003D21B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создать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благоприятные перспективы для дальнейшего развития.</w:t>
            </w:r>
          </w:p>
          <w:p w:rsidR="00903D81" w:rsidRPr="00B44C28" w:rsidRDefault="003D21B9" w:rsidP="003D21B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Продукция производства ОАО «Бор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совский завод «Автогидроусилитель» имеет преимущества перед аналогичной </w:t>
            </w:r>
            <w:proofErr w:type="gramStart"/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продукцией</w:t>
            </w:r>
            <w:proofErr w:type="gramEnd"/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как по цене, так и по кач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ственным параметрам. Для ОАО «Бор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совский завод «Автогидроусилитель» наиболее оптимальной является страт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гия ценообразования, направленная на поддержание приемлемого потребителям уровня цен, в сочетании с постоянно проводимой работой по совершенств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ванию качества и обновлению модельн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ряда производимых изделий.</w:t>
            </w:r>
          </w:p>
        </w:tc>
        <w:tc>
          <w:tcPr>
            <w:tcW w:w="4854" w:type="dxa"/>
          </w:tcPr>
          <w:p w:rsidR="00486099" w:rsidRDefault="00D82CB7" w:rsidP="00FF5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Present investment project is </w:t>
            </w:r>
            <w:r w:rsidR="00F3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profitable and </w:t>
            </w:r>
            <w:r w:rsidR="00E14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pay </w:t>
            </w:r>
            <w:r w:rsidR="00E14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off. S</w:t>
            </w:r>
            <w:r w:rsidR="00E141F0" w:rsidRPr="00E14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uccessful implementation</w:t>
            </w:r>
            <w:r w:rsidR="0048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allows the co</w:t>
            </w:r>
            <w:r w:rsidR="0048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8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pany</w:t>
            </w:r>
            <w:r w:rsidR="00070B7D" w:rsidRPr="00070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86099" w:rsidRDefault="00486099" w:rsidP="00FF5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070B7D" w:rsidRPr="00070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 costs;</w:t>
            </w:r>
          </w:p>
          <w:p w:rsidR="00486099" w:rsidRDefault="00486099" w:rsidP="00FF5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070B7D" w:rsidRPr="00070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profitability;</w:t>
            </w:r>
          </w:p>
          <w:p w:rsidR="00486099" w:rsidRDefault="00486099" w:rsidP="00FF5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E53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independently and in time</w:t>
            </w:r>
            <w:r w:rsidR="00070B7D" w:rsidRPr="00070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pay for long-term project commitments;</w:t>
            </w:r>
          </w:p>
          <w:p w:rsidR="00070B7D" w:rsidRDefault="00486099" w:rsidP="00FF5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070B7D" w:rsidRPr="00070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 favorable prospects for further deve</w:t>
            </w:r>
            <w:r w:rsidR="00070B7D" w:rsidRPr="00070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70B7D" w:rsidRPr="00070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opment</w:t>
            </w:r>
            <w:r w:rsidR="000A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0E9E" w:rsidRPr="00D82CB7" w:rsidRDefault="00882B80" w:rsidP="00FF5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 manufactured by JSC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</w:t>
            </w:r>
            <w:r w:rsidR="008B0E9E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Avtogydrousilitel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8B0E9E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advantages over similar p</w:t>
            </w:r>
            <w:r w:rsidR="00293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roducts both in price and in</w:t>
            </w:r>
            <w:r w:rsidR="008B0E9E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quali</w:t>
            </w:r>
            <w:r w:rsidR="00293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 param</w:t>
            </w:r>
            <w:r w:rsidR="00293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93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</w:t>
            </w:r>
            <w:r w:rsidR="00D5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41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JSC</w:t>
            </w:r>
            <w:r w:rsidR="00D5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D5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</w:t>
            </w:r>
            <w:proofErr w:type="spellEnd"/>
            <w:r w:rsidR="00D5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</w:t>
            </w:r>
            <w:r w:rsidR="00D5145D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D5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Avtogydrousilitel</w:t>
            </w:r>
            <w:proofErr w:type="spellEnd"/>
            <w:r w:rsidR="00D5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8B0E9E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47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</w:t>
            </w:r>
            <w:r w:rsidR="008B0E9E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73DB" w:rsidRPr="00C47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rationale</w:t>
            </w:r>
            <w:r w:rsidR="00C47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use</w:t>
            </w:r>
            <w:r w:rsidR="008B0E9E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D92" w:rsidRPr="0037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pricing strategy</w:t>
            </w:r>
            <w:r w:rsidR="008B0E9E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aimed at maintaining an a</w:t>
            </w:r>
            <w:r w:rsidR="008B0E9E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B0E9E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ceptable level of prices to consumers, coupled with the ever-ongoing work to improve the quality and updating</w:t>
            </w:r>
            <w:r w:rsidR="00E0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model range pr</w:t>
            </w:r>
            <w:r w:rsidR="00E0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0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duced items</w:t>
            </w:r>
            <w:r w:rsidR="008B0E9E"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рынок и рыночные возмо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ности, планируемое распределение объема продаж по странам/регионам</w:t>
            </w:r>
          </w:p>
        </w:tc>
        <w:tc>
          <w:tcPr>
            <w:tcW w:w="4854" w:type="dxa"/>
          </w:tcPr>
          <w:p w:rsidR="00AD38C9" w:rsidRPr="0016747F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Target market and market opportunities, planned sales volume distribution by cou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tries/regions</w:t>
            </w:r>
          </w:p>
        </w:tc>
      </w:tr>
      <w:tr w:rsidR="00AD38C9" w:rsidRPr="004D1766" w:rsidTr="00AD38C9">
        <w:tc>
          <w:tcPr>
            <w:tcW w:w="456" w:type="dxa"/>
            <w:vMerge/>
          </w:tcPr>
          <w:p w:rsidR="00AD38C9" w:rsidRPr="00606066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3D21B9" w:rsidRPr="003D21B9" w:rsidRDefault="003D21B9" w:rsidP="003D21B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ОАО «Борисовский завод «Автогидр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усилитель» является специализирова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ным предприятием по производству ги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росистем рулевого управления (мех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низмы рулевого управления, насосы гидроусилителя руля, гидроцилиндры) для широкой гаммы автомобильной те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ники (от легковых автомобилей до большегрузных автомобилей, автобусов и троллейбусов). Основными потребит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лями продукции выпускаемой заводом продукции являются крупнейшие авт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мобильные заводы СНГ: ПАО «КамАЗ», ОАО «ГАЗ», ПАО «Павловский авт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бус», ПАО «УАЗ», ПАО «АЗ Урал», ООО «</w:t>
            </w:r>
            <w:proofErr w:type="spellStart"/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Ликинский</w:t>
            </w:r>
            <w:proofErr w:type="spellEnd"/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автобус», ПАО «</w:t>
            </w:r>
            <w:proofErr w:type="spellStart"/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тоКрАЗ</w:t>
            </w:r>
            <w:proofErr w:type="spellEnd"/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ОАО «МТЗ», ОАО «МАЗ». Целевыми рынками сбыта для произв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димой продукции являются Российская Федерация, а также страны СНГ. План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руемое распределение объема продаж по странам: Российская Федерация – 77,2%, дальнее зарубежье – 0,3%, ближнее з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рубежье – 1,9%, Республика Беларусь – 20,6%</w:t>
            </w:r>
          </w:p>
          <w:p w:rsidR="00903D81" w:rsidRPr="003D21B9" w:rsidRDefault="00903D81" w:rsidP="00406B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D38C9" w:rsidRPr="00D144E9" w:rsidRDefault="002169E9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</w:t>
            </w:r>
            <w:r w:rsidRPr="008B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Avtogydrousilitel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spe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cialized enterprise for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production of </w:t>
            </w:r>
            <w:r w:rsidR="00D273DC" w:rsidRPr="00D2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</w:t>
            </w:r>
            <w:r w:rsidR="00D273DC" w:rsidRPr="00D2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D273DC" w:rsidRPr="00D2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 steering system</w:t>
            </w:r>
            <w:r w:rsidR="00D2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C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(steering mecha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nisms, steering pumps, hydraulic cylinders) for a wid</w:t>
            </w:r>
            <w:r w:rsidR="001C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range of automotive vehicles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(from cars to heavy trucks, buses </w:t>
            </w:r>
            <w:r w:rsidR="00974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trolleybuses). Main consumers</w:t>
            </w:r>
            <w:r w:rsidR="00A1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largest automotive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plants CIS</w:t>
            </w:r>
            <w:r w:rsidR="00A1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PJSC “</w:t>
            </w:r>
            <w:proofErr w:type="spellStart"/>
            <w:r w:rsidR="00A1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Kamaz</w:t>
            </w:r>
            <w:proofErr w:type="spellEnd"/>
            <w:r w:rsidR="00A1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OAO “GAZ”, PJSC “</w:t>
            </w:r>
            <w:proofErr w:type="spellStart"/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1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proofErr w:type="spellEnd"/>
            <w:r w:rsidR="00A1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 beads”, PJSC “UAZ”</w:t>
            </w:r>
            <w:r w:rsidR="0026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96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PJSC “AZ Ural”, LLC “</w:t>
            </w:r>
            <w:proofErr w:type="spellStart"/>
            <w:r w:rsidR="00096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Likino</w:t>
            </w:r>
            <w:proofErr w:type="spellEnd"/>
            <w:r w:rsidR="00096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Bus”</w:t>
            </w:r>
            <w:r w:rsidR="0026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PJSC “</w:t>
            </w:r>
            <w:r w:rsidR="00096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Aw-</w:t>
            </w:r>
            <w:proofErr w:type="spellStart"/>
            <w:r w:rsidR="00096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toKrAZ</w:t>
            </w:r>
            <w:proofErr w:type="spellEnd"/>
            <w:r w:rsidR="00096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JSC “MTZ”, JSC “MAZ”</w:t>
            </w:r>
            <w:r w:rsidR="0061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arget markets</w:t>
            </w:r>
            <w:r w:rsidR="0042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 w:rsidR="0042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2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for</w:t>
            </w:r>
            <w:r w:rsidR="0076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products are</w:t>
            </w:r>
            <w:proofErr w:type="gramEnd"/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Federa</w:t>
            </w:r>
            <w:r w:rsidR="001D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and CIS countries. Planned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distribution of sales by </w:t>
            </w:r>
            <w:r w:rsidR="001D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</w:t>
            </w:r>
            <w:r w:rsidR="001D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D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tries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Russian Federation - 77.2%, CIS cou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tries - 0.3%, for the near-abroad - 1.9%,</w:t>
            </w:r>
            <w:r w:rsidR="001D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of</w:t>
            </w:r>
            <w:r w:rsidR="00D144E9" w:rsidRPr="00D1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Belarus - 20.6%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проекта, 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4854" w:type="dxa"/>
          </w:tcPr>
          <w:p w:rsidR="00AD38C9" w:rsidRPr="0016747F" w:rsidRDefault="00606066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investment amount</w:t>
            </w:r>
            <w:r w:rsidR="007710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the project</w:t>
            </w: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USD</w:t>
            </w:r>
          </w:p>
        </w:tc>
      </w:tr>
      <w:tr w:rsidR="00903D81" w:rsidTr="00A977EF">
        <w:tc>
          <w:tcPr>
            <w:tcW w:w="456" w:type="dxa"/>
            <w:vMerge/>
          </w:tcPr>
          <w:p w:rsidR="00903D81" w:rsidRPr="007710E6" w:rsidRDefault="00903D81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903D81" w:rsidRPr="001D14E3" w:rsidRDefault="003D21B9" w:rsidP="00CF298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51,3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75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USD</w:t>
            </w:r>
            <w:r w:rsidR="001D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A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51,3 </w:t>
            </w:r>
            <w:proofErr w:type="spellStart"/>
            <w:r w:rsidR="009A22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mln</w:t>
            </w:r>
            <w:proofErr w:type="spellEnd"/>
            <w:r w:rsidR="001D1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14E3" w:rsidRPr="004575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USD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инициатора проекта,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буемый объем инвестиций,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4854" w:type="dxa"/>
          </w:tcPr>
          <w:p w:rsidR="00AD38C9" w:rsidRPr="00A43CBA" w:rsidRDefault="0016747F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Contribution of the project initiator, incl. the amount of initiator investments, USD</w:t>
            </w:r>
          </w:p>
        </w:tc>
      </w:tr>
      <w:tr w:rsidR="00E663C2" w:rsidRPr="0016747F" w:rsidTr="00A977EF">
        <w:tc>
          <w:tcPr>
            <w:tcW w:w="456" w:type="dxa"/>
            <w:vMerge/>
          </w:tcPr>
          <w:p w:rsidR="00E663C2" w:rsidRPr="0016747F" w:rsidRDefault="00E663C2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E663C2" w:rsidRPr="0016747F" w:rsidRDefault="003D21B9" w:rsidP="00E6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17,3 </w:t>
            </w:r>
            <w:proofErr w:type="gramStart"/>
            <w:r w:rsidRPr="006607CB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 w:rsidRPr="00660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75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USD</w:t>
            </w:r>
            <w:r w:rsidR="009A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A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17,3 </w:t>
            </w:r>
            <w:proofErr w:type="spellStart"/>
            <w:r w:rsidR="009A22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mln</w:t>
            </w:r>
            <w:proofErr w:type="spellEnd"/>
            <w:r w:rsidR="009A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2217" w:rsidRPr="004575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USD</w:t>
            </w:r>
            <w:r w:rsidR="0072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Необходимый вклад инвесторов, в </w:t>
            </w:r>
            <w:proofErr w:type="spellStart"/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требуемый объем инвестиций, 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4854" w:type="dxa"/>
          </w:tcPr>
          <w:p w:rsidR="00AD38C9" w:rsidRPr="00A43CBA" w:rsidRDefault="0016747F" w:rsidP="00F4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expected contribution of the investor, incl. </w:t>
            </w:r>
            <w:r w:rsidR="007710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required </w:t>
            </w:r>
            <w:r w:rsidR="00F4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amount of </w:t>
            </w:r>
            <w:r w:rsidR="00F44EB0"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investments</w:t>
            </w:r>
            <w:r w:rsidR="00F4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</w:p>
        </w:tc>
      </w:tr>
      <w:tr w:rsidR="00E663C2" w:rsidRPr="0016747F" w:rsidTr="00A977EF">
        <w:tc>
          <w:tcPr>
            <w:tcW w:w="456" w:type="dxa"/>
            <w:vMerge/>
          </w:tcPr>
          <w:p w:rsidR="00E663C2" w:rsidRPr="0016747F" w:rsidRDefault="00E663C2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E663C2" w:rsidRPr="0016747F" w:rsidRDefault="003D21B9" w:rsidP="00E6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</w:t>
            </w:r>
            <w:proofErr w:type="gramStart"/>
            <w:r w:rsidRPr="0046264B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 w:rsidRPr="0046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26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USD</w:t>
            </w:r>
            <w:r w:rsidR="009A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A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</w:t>
            </w:r>
            <w:proofErr w:type="spellStart"/>
            <w:r w:rsidR="009A22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mln</w:t>
            </w:r>
            <w:proofErr w:type="spellEnd"/>
            <w:r w:rsidR="009A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2217" w:rsidRPr="004575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USD</w:t>
            </w:r>
          </w:p>
        </w:tc>
      </w:tr>
      <w:tr w:rsidR="00AD38C9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2" w:type="dxa"/>
          </w:tcPr>
          <w:p w:rsidR="00AD38C9" w:rsidRPr="00AD38C9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854" w:type="dxa"/>
          </w:tcPr>
          <w:p w:rsidR="00AD38C9" w:rsidRPr="00A43CBA" w:rsidRDefault="00A43CBA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Pay-back period, years</w:t>
            </w:r>
          </w:p>
        </w:tc>
      </w:tr>
      <w:tr w:rsidR="00903D81" w:rsidRPr="004D1766" w:rsidTr="00A977EF">
        <w:tc>
          <w:tcPr>
            <w:tcW w:w="456" w:type="dxa"/>
            <w:vMerge/>
          </w:tcPr>
          <w:p w:rsidR="00903D81" w:rsidRPr="00AD38C9" w:rsidRDefault="00903D81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6" w:type="dxa"/>
            <w:gridSpan w:val="2"/>
          </w:tcPr>
          <w:p w:rsidR="003D21B9" w:rsidRDefault="003D21B9" w:rsidP="003D21B9">
            <w:pPr>
              <w:rPr>
                <w:rFonts w:ascii="Calibri" w:eastAsia="Times New Roman" w:hAnsi="Calibri" w:cs="Calibri"/>
                <w:lang w:eastAsia="en-US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Простой срок окупаемости проекта составит 12 лет 7 месяцев</w:t>
            </w:r>
            <w:r w:rsidRPr="003D21B9">
              <w:rPr>
                <w:rFonts w:ascii="Calibri" w:eastAsia="Times New Roman" w:hAnsi="Calibri" w:cs="Calibri"/>
                <w:lang w:eastAsia="en-US"/>
              </w:rPr>
              <w:t>;</w:t>
            </w:r>
          </w:p>
          <w:p w:rsidR="009A2217" w:rsidRPr="0039188E" w:rsidRDefault="0091375E" w:rsidP="003D21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="00FE5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imple payback term</w:t>
            </w:r>
            <w:r w:rsidR="00495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of the project</w:t>
            </w: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39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is 12 years and 7 months;</w:t>
            </w:r>
          </w:p>
          <w:p w:rsidR="00903D81" w:rsidRDefault="003D21B9" w:rsidP="003D21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динамический срок окупаемости проекта </w:t>
            </w:r>
            <w:r w:rsidRPr="003D21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– 20 лет 3 месяца</w:t>
            </w:r>
          </w:p>
          <w:p w:rsidR="0039188E" w:rsidRPr="0039188E" w:rsidRDefault="0039188E" w:rsidP="003D21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Dynamic </w:t>
            </w:r>
            <w:r w:rsidR="00FE5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payback </w:t>
            </w:r>
            <w:r w:rsidR="00495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term</w:t>
            </w:r>
            <w:r w:rsidR="0049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project</w:t>
            </w:r>
            <w:r w:rsidR="00FE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20 years and 3 month</w:t>
            </w:r>
            <w:r w:rsidR="007E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2" w:type="dxa"/>
          </w:tcPr>
          <w:p w:rsidR="00AD38C9" w:rsidRPr="002B22F1" w:rsidRDefault="00AD38C9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>Чистый дисконтированный доход (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PV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AD3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4854" w:type="dxa"/>
          </w:tcPr>
          <w:p w:rsidR="00AD38C9" w:rsidRPr="00A43CBA" w:rsidRDefault="00A43CBA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 present value (NPV), USD</w:t>
            </w:r>
          </w:p>
        </w:tc>
      </w:tr>
      <w:tr w:rsidR="00E663C2" w:rsidRPr="00A43CBA" w:rsidTr="00A977EF">
        <w:tc>
          <w:tcPr>
            <w:tcW w:w="456" w:type="dxa"/>
            <w:vMerge/>
          </w:tcPr>
          <w:p w:rsidR="00E663C2" w:rsidRPr="00A43CBA" w:rsidRDefault="00E663C2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E663C2" w:rsidRPr="00886C87" w:rsidRDefault="003D21B9" w:rsidP="00A977E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B0B">
              <w:rPr>
                <w:rFonts w:ascii="Times New Roman" w:hAnsi="Times New Roman" w:cs="Times New Roman"/>
                <w:sz w:val="24"/>
                <w:szCs w:val="24"/>
              </w:rPr>
              <w:t>714,6 тыс. USD</w:t>
            </w:r>
            <w:r w:rsidR="00886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86C87">
              <w:rPr>
                <w:rFonts w:ascii="Times New Roman" w:hAnsi="Times New Roman" w:cs="Times New Roman"/>
                <w:sz w:val="24"/>
                <w:szCs w:val="24"/>
              </w:rPr>
              <w:t xml:space="preserve">714,6 </w:t>
            </w:r>
            <w:r w:rsidR="00886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thousands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2" w:type="dxa"/>
          </w:tcPr>
          <w:p w:rsidR="00AD38C9" w:rsidRPr="00932127" w:rsidRDefault="00932127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норма доходности 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(IRR), %</w:t>
            </w:r>
          </w:p>
        </w:tc>
        <w:tc>
          <w:tcPr>
            <w:tcW w:w="4854" w:type="dxa"/>
          </w:tcPr>
          <w:p w:rsidR="00AD38C9" w:rsidRPr="00A43CBA" w:rsidRDefault="00A43CBA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Internal rate of return (IRR),%</w:t>
            </w:r>
          </w:p>
        </w:tc>
      </w:tr>
      <w:tr w:rsidR="00903D81" w:rsidRPr="00A43CBA" w:rsidTr="00A977EF">
        <w:tc>
          <w:tcPr>
            <w:tcW w:w="456" w:type="dxa"/>
            <w:vMerge/>
          </w:tcPr>
          <w:p w:rsidR="00903D81" w:rsidRPr="00A43CBA" w:rsidRDefault="00903D81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903D81" w:rsidRPr="00886C87" w:rsidRDefault="003D21B9" w:rsidP="00A977E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7,58%.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AD38C9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2" w:type="dxa"/>
          </w:tcPr>
          <w:p w:rsidR="00AD38C9" w:rsidRPr="00932127" w:rsidRDefault="00932127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по проекту: ФИО, должность, компания, телефон, 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54" w:type="dxa"/>
          </w:tcPr>
          <w:p w:rsidR="00AD38C9" w:rsidRPr="00A43CBA" w:rsidRDefault="00A43CBA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person: name, position, company, phone, e-mail</w:t>
            </w:r>
          </w:p>
        </w:tc>
      </w:tr>
      <w:tr w:rsidR="00AD38C9" w:rsidRPr="004D1766" w:rsidTr="00AD38C9">
        <w:tc>
          <w:tcPr>
            <w:tcW w:w="456" w:type="dxa"/>
            <w:vMerge/>
          </w:tcPr>
          <w:p w:rsidR="00AD38C9" w:rsidRPr="00A43CBA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903D81" w:rsidRPr="00CF298F" w:rsidRDefault="003D21B9" w:rsidP="00221F8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Каптур С.И., главный технолог,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(80177)73-35-46</w:t>
            </w:r>
          </w:p>
        </w:tc>
        <w:tc>
          <w:tcPr>
            <w:tcW w:w="4854" w:type="dxa"/>
          </w:tcPr>
          <w:p w:rsidR="00AD38C9" w:rsidRDefault="00886C87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Kaptur S.I. chief </w:t>
            </w:r>
            <w:r w:rsidR="0005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0511C4" w:rsidRPr="00886C87" w:rsidRDefault="000511C4" w:rsidP="00F97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3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(80177)73-35-46</w:t>
            </w:r>
          </w:p>
        </w:tc>
      </w:tr>
      <w:tr w:rsidR="00AD38C9" w:rsidRPr="004D1766" w:rsidTr="00AD38C9">
        <w:tc>
          <w:tcPr>
            <w:tcW w:w="456" w:type="dxa"/>
            <w:vMerge w:val="restart"/>
          </w:tcPr>
          <w:p w:rsidR="00AD38C9" w:rsidRPr="00E663C2" w:rsidRDefault="00AD38C9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472" w:type="dxa"/>
          </w:tcPr>
          <w:p w:rsidR="00AD38C9" w:rsidRPr="00E663C2" w:rsidRDefault="00932127" w:rsidP="0089735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заполнения</w:t>
            </w:r>
            <w:r w:rsidRPr="00E6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212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4854" w:type="dxa"/>
          </w:tcPr>
          <w:p w:rsidR="00AD38C9" w:rsidRPr="00A43CBA" w:rsidRDefault="00A43CBA" w:rsidP="00F97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filling in the form</w:t>
            </w:r>
          </w:p>
        </w:tc>
      </w:tr>
      <w:tr w:rsidR="00903D81" w:rsidRPr="00E663C2" w:rsidTr="00A977EF">
        <w:tc>
          <w:tcPr>
            <w:tcW w:w="456" w:type="dxa"/>
            <w:vMerge/>
          </w:tcPr>
          <w:p w:rsidR="00903D81" w:rsidRPr="00A43CBA" w:rsidRDefault="00903D81" w:rsidP="00AD3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6" w:type="dxa"/>
            <w:gridSpan w:val="2"/>
          </w:tcPr>
          <w:p w:rsidR="00903D81" w:rsidRPr="00A43CBA" w:rsidRDefault="00CF298F" w:rsidP="00CF298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16.12.2016</w:t>
            </w:r>
          </w:p>
        </w:tc>
      </w:tr>
    </w:tbl>
    <w:p w:rsidR="00AD38C9" w:rsidRPr="00A43CBA" w:rsidRDefault="00AD38C9" w:rsidP="00AD38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38C9" w:rsidRPr="00A43CBA" w:rsidSect="0086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F0C"/>
    <w:multiLevelType w:val="multilevel"/>
    <w:tmpl w:val="8ABE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66B0A"/>
    <w:multiLevelType w:val="hybridMultilevel"/>
    <w:tmpl w:val="4EB04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C9"/>
    <w:rsid w:val="00001F34"/>
    <w:rsid w:val="00007D4E"/>
    <w:rsid w:val="000511C4"/>
    <w:rsid w:val="00053E49"/>
    <w:rsid w:val="000609FD"/>
    <w:rsid w:val="00070B7D"/>
    <w:rsid w:val="00086902"/>
    <w:rsid w:val="00096D5A"/>
    <w:rsid w:val="000A2282"/>
    <w:rsid w:val="00100782"/>
    <w:rsid w:val="00122E56"/>
    <w:rsid w:val="001530DC"/>
    <w:rsid w:val="001606AB"/>
    <w:rsid w:val="001665A8"/>
    <w:rsid w:val="0016747F"/>
    <w:rsid w:val="0018706F"/>
    <w:rsid w:val="001C0087"/>
    <w:rsid w:val="001D14E3"/>
    <w:rsid w:val="001D4AEE"/>
    <w:rsid w:val="001D5642"/>
    <w:rsid w:val="001E4339"/>
    <w:rsid w:val="002169E9"/>
    <w:rsid w:val="00221F86"/>
    <w:rsid w:val="00250F03"/>
    <w:rsid w:val="00265E78"/>
    <w:rsid w:val="00272133"/>
    <w:rsid w:val="00282566"/>
    <w:rsid w:val="00293FE4"/>
    <w:rsid w:val="002B22F1"/>
    <w:rsid w:val="002B45E9"/>
    <w:rsid w:val="002B5770"/>
    <w:rsid w:val="002D632E"/>
    <w:rsid w:val="002F39A7"/>
    <w:rsid w:val="00330AA9"/>
    <w:rsid w:val="0036309F"/>
    <w:rsid w:val="00374D92"/>
    <w:rsid w:val="003779AD"/>
    <w:rsid w:val="00380453"/>
    <w:rsid w:val="0039188E"/>
    <w:rsid w:val="003A14F6"/>
    <w:rsid w:val="003A2EF9"/>
    <w:rsid w:val="003A7736"/>
    <w:rsid w:val="003D21B9"/>
    <w:rsid w:val="003E0C10"/>
    <w:rsid w:val="003E5C07"/>
    <w:rsid w:val="003E5DFC"/>
    <w:rsid w:val="003E6DFD"/>
    <w:rsid w:val="00406B1A"/>
    <w:rsid w:val="0042477B"/>
    <w:rsid w:val="00426CA1"/>
    <w:rsid w:val="00426F36"/>
    <w:rsid w:val="00486099"/>
    <w:rsid w:val="0049294E"/>
    <w:rsid w:val="004951AD"/>
    <w:rsid w:val="00495A17"/>
    <w:rsid w:val="004B0620"/>
    <w:rsid w:val="004D1766"/>
    <w:rsid w:val="004E4663"/>
    <w:rsid w:val="004F2BB4"/>
    <w:rsid w:val="00522988"/>
    <w:rsid w:val="00534159"/>
    <w:rsid w:val="00541FF6"/>
    <w:rsid w:val="005536DE"/>
    <w:rsid w:val="005551ED"/>
    <w:rsid w:val="00577E59"/>
    <w:rsid w:val="005D336B"/>
    <w:rsid w:val="00600E86"/>
    <w:rsid w:val="00606066"/>
    <w:rsid w:val="0061753B"/>
    <w:rsid w:val="00627897"/>
    <w:rsid w:val="00656887"/>
    <w:rsid w:val="00683304"/>
    <w:rsid w:val="006C02D5"/>
    <w:rsid w:val="006C52B9"/>
    <w:rsid w:val="006F141B"/>
    <w:rsid w:val="00716490"/>
    <w:rsid w:val="007227CB"/>
    <w:rsid w:val="0074150A"/>
    <w:rsid w:val="007448BE"/>
    <w:rsid w:val="00762BB9"/>
    <w:rsid w:val="007710E6"/>
    <w:rsid w:val="007D06B2"/>
    <w:rsid w:val="007D1AAC"/>
    <w:rsid w:val="007E45C0"/>
    <w:rsid w:val="007E47B6"/>
    <w:rsid w:val="007E506E"/>
    <w:rsid w:val="008012B7"/>
    <w:rsid w:val="00803703"/>
    <w:rsid w:val="00812E46"/>
    <w:rsid w:val="00826620"/>
    <w:rsid w:val="00831F78"/>
    <w:rsid w:val="00846CD5"/>
    <w:rsid w:val="008648BB"/>
    <w:rsid w:val="00865A41"/>
    <w:rsid w:val="00881024"/>
    <w:rsid w:val="00882B80"/>
    <w:rsid w:val="00886C87"/>
    <w:rsid w:val="00897350"/>
    <w:rsid w:val="008B0E9E"/>
    <w:rsid w:val="008E6B64"/>
    <w:rsid w:val="00903D81"/>
    <w:rsid w:val="00904598"/>
    <w:rsid w:val="00905A3F"/>
    <w:rsid w:val="00907CA6"/>
    <w:rsid w:val="0091375E"/>
    <w:rsid w:val="00932127"/>
    <w:rsid w:val="00934D20"/>
    <w:rsid w:val="00950778"/>
    <w:rsid w:val="0096433D"/>
    <w:rsid w:val="00966320"/>
    <w:rsid w:val="0096682A"/>
    <w:rsid w:val="009744F6"/>
    <w:rsid w:val="009A2217"/>
    <w:rsid w:val="009B1208"/>
    <w:rsid w:val="009B305C"/>
    <w:rsid w:val="009E6BCB"/>
    <w:rsid w:val="00A148F5"/>
    <w:rsid w:val="00A15986"/>
    <w:rsid w:val="00A2228A"/>
    <w:rsid w:val="00A30C7D"/>
    <w:rsid w:val="00A3274C"/>
    <w:rsid w:val="00A43CBA"/>
    <w:rsid w:val="00A83738"/>
    <w:rsid w:val="00A977EF"/>
    <w:rsid w:val="00AB4B52"/>
    <w:rsid w:val="00AC59AD"/>
    <w:rsid w:val="00AD38C9"/>
    <w:rsid w:val="00AD5EB3"/>
    <w:rsid w:val="00AE56A8"/>
    <w:rsid w:val="00AF21F6"/>
    <w:rsid w:val="00B2414A"/>
    <w:rsid w:val="00B44C28"/>
    <w:rsid w:val="00B565C3"/>
    <w:rsid w:val="00B80371"/>
    <w:rsid w:val="00B80E20"/>
    <w:rsid w:val="00B9450E"/>
    <w:rsid w:val="00B94F57"/>
    <w:rsid w:val="00BB3179"/>
    <w:rsid w:val="00BC3987"/>
    <w:rsid w:val="00BE5E9B"/>
    <w:rsid w:val="00BE61CF"/>
    <w:rsid w:val="00C01E71"/>
    <w:rsid w:val="00C1513E"/>
    <w:rsid w:val="00C23DAD"/>
    <w:rsid w:val="00C26D7E"/>
    <w:rsid w:val="00C473DB"/>
    <w:rsid w:val="00CA4E92"/>
    <w:rsid w:val="00CC1D5E"/>
    <w:rsid w:val="00CC53EB"/>
    <w:rsid w:val="00CD4C1A"/>
    <w:rsid w:val="00CD642B"/>
    <w:rsid w:val="00CF298F"/>
    <w:rsid w:val="00D144E9"/>
    <w:rsid w:val="00D24EDC"/>
    <w:rsid w:val="00D273DC"/>
    <w:rsid w:val="00D5145D"/>
    <w:rsid w:val="00D51C26"/>
    <w:rsid w:val="00D617CD"/>
    <w:rsid w:val="00D64DE4"/>
    <w:rsid w:val="00D7711B"/>
    <w:rsid w:val="00D82CB7"/>
    <w:rsid w:val="00D83F11"/>
    <w:rsid w:val="00DA0A98"/>
    <w:rsid w:val="00E0760B"/>
    <w:rsid w:val="00E141F0"/>
    <w:rsid w:val="00E42108"/>
    <w:rsid w:val="00E46C52"/>
    <w:rsid w:val="00E53397"/>
    <w:rsid w:val="00E663C2"/>
    <w:rsid w:val="00E71243"/>
    <w:rsid w:val="00E972AF"/>
    <w:rsid w:val="00EA71CA"/>
    <w:rsid w:val="00EC175C"/>
    <w:rsid w:val="00ED3C01"/>
    <w:rsid w:val="00ED575A"/>
    <w:rsid w:val="00ED6979"/>
    <w:rsid w:val="00EE07C6"/>
    <w:rsid w:val="00F0120E"/>
    <w:rsid w:val="00F30EB6"/>
    <w:rsid w:val="00F44EB0"/>
    <w:rsid w:val="00F63CDB"/>
    <w:rsid w:val="00F97D03"/>
    <w:rsid w:val="00FA4AF5"/>
    <w:rsid w:val="00FA733A"/>
    <w:rsid w:val="00FB1511"/>
    <w:rsid w:val="00FB797A"/>
    <w:rsid w:val="00FE5154"/>
    <w:rsid w:val="00FF2EAB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6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6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0F8A-F358-4F4D-AC5D-58E1F99D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OKS_1</dc:creator>
  <cp:lastModifiedBy>user</cp:lastModifiedBy>
  <cp:revision>2</cp:revision>
  <cp:lastPrinted>2016-12-16T12:29:00Z</cp:lastPrinted>
  <dcterms:created xsi:type="dcterms:W3CDTF">2017-01-17T15:38:00Z</dcterms:created>
  <dcterms:modified xsi:type="dcterms:W3CDTF">2017-01-17T15:38:00Z</dcterms:modified>
</cp:coreProperties>
</file>