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20" w:rsidRPr="002817FA" w:rsidRDefault="00670B81" w:rsidP="00E9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81">
        <w:rPr>
          <w:rFonts w:ascii="Times New Roman" w:hAnsi="Times New Roman" w:cs="Times New Roman"/>
          <w:b/>
          <w:sz w:val="28"/>
          <w:szCs w:val="28"/>
        </w:rPr>
        <w:t xml:space="preserve">Форма предложения инвестиционного проекта </w:t>
      </w:r>
      <w:r w:rsidR="002817FA" w:rsidRPr="002817FA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2817FA" w:rsidRPr="002817FA">
        <w:rPr>
          <w:rFonts w:ascii="Times New Roman" w:hAnsi="Times New Roman" w:cs="Times New Roman"/>
          <w:b/>
          <w:sz w:val="28"/>
          <w:szCs w:val="28"/>
        </w:rPr>
        <w:t>Белкард</w:t>
      </w:r>
      <w:proofErr w:type="spellEnd"/>
      <w:r w:rsidR="002817FA" w:rsidRPr="002817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4472"/>
        <w:gridCol w:w="4854"/>
      </w:tblGrid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name</w:t>
            </w:r>
          </w:p>
        </w:tc>
      </w:tr>
      <w:tr w:rsidR="00AD38C9" w:rsidRPr="00E9213F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3D81" w:rsidRPr="00897350" w:rsidRDefault="00E9213F" w:rsidP="00E9213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перевооружение ОАО </w:t>
            </w:r>
            <w:r w:rsidR="00897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97350"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 w:rsidR="00897350">
              <w:rPr>
                <w:rFonts w:ascii="Times New Roman" w:hAnsi="Times New Roman" w:cs="Times New Roman"/>
                <w:sz w:val="24"/>
                <w:szCs w:val="24"/>
              </w:rPr>
              <w:t>» на 2015-2019 гг.»</w:t>
            </w:r>
          </w:p>
        </w:tc>
        <w:tc>
          <w:tcPr>
            <w:tcW w:w="4854" w:type="dxa"/>
          </w:tcPr>
          <w:p w:rsidR="00E663C2" w:rsidRPr="00E27700" w:rsidRDefault="00E663C2" w:rsidP="00E663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77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Belcard</w:t>
            </w:r>
            <w:proofErr w:type="spellEnd"/>
            <w:r w:rsidRPr="00E277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 xml:space="preserve"> JSC Technical modernization in 2015-2019</w:t>
            </w:r>
          </w:p>
          <w:p w:rsidR="00AD38C9" w:rsidRPr="00E663C2" w:rsidRDefault="00AD38C9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4854" w:type="dxa"/>
          </w:tcPr>
          <w:p w:rsidR="00AD38C9" w:rsidRPr="00897350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Sector</w:t>
            </w:r>
          </w:p>
        </w:tc>
      </w:tr>
      <w:tr w:rsidR="00AD38C9" w:rsidRPr="00E9213F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D38C9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  <w:p w:rsidR="00903D81" w:rsidRPr="00897350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  <w:tc>
          <w:tcPr>
            <w:tcW w:w="4854" w:type="dxa"/>
          </w:tcPr>
          <w:p w:rsidR="00AD38C9" w:rsidRDefault="00E663C2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6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echanical engineering</w:t>
            </w:r>
          </w:p>
          <w:p w:rsidR="00E663C2" w:rsidRPr="00E663C2" w:rsidRDefault="00E663C2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024E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utomotive components manufacturing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4854" w:type="dxa"/>
          </w:tcPr>
          <w:p w:rsidR="00AD38C9" w:rsidRPr="00897350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8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initiator</w:t>
            </w:r>
            <w:r w:rsidRPr="008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</w:tr>
      <w:tr w:rsidR="00AD38C9" w:rsidRPr="00C1513E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D38C9" w:rsidRPr="00897350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:rsidR="00903D81" w:rsidRPr="00897350" w:rsidRDefault="00903D81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1513E" w:rsidRPr="00E27700" w:rsidRDefault="00C1513E" w:rsidP="00C151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277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Belcard</w:t>
            </w:r>
            <w:proofErr w:type="spellEnd"/>
            <w:r w:rsidRPr="00E277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 xml:space="preserve"> JSC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E277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Grodno</w:t>
            </w:r>
          </w:p>
          <w:p w:rsidR="00AD38C9" w:rsidRPr="00C1513E" w:rsidRDefault="00AD38C9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854" w:type="dxa"/>
          </w:tcPr>
          <w:p w:rsidR="00AD38C9" w:rsidRPr="00897350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8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AD38C9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D38C9" w:rsidRPr="00897350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 Гродно</w:t>
            </w:r>
          </w:p>
          <w:p w:rsidR="00903D81" w:rsidRPr="00897350" w:rsidRDefault="00903D81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D38C9" w:rsidRPr="00AD38C9" w:rsidRDefault="00C1513E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Grodno, Republic of Belarus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инвестора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(СП, новое предприятие, ГЧП, иная), распределение долей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investor participation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(JV, a new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terprise, PPP, other), distribution of shares</w:t>
            </w:r>
          </w:p>
        </w:tc>
      </w:tr>
      <w:tr w:rsidR="00AD38C9" w:rsidRPr="00606066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AD38C9" w:rsidRPr="00E972AF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AF">
              <w:rPr>
                <w:rFonts w:ascii="Times New Roman" w:hAnsi="Times New Roman" w:cs="Times New Roman"/>
                <w:sz w:val="24"/>
                <w:szCs w:val="24"/>
              </w:rPr>
              <w:t>Возможны варианты</w:t>
            </w:r>
            <w:bookmarkStart w:id="0" w:name="_GoBack"/>
            <w:bookmarkEnd w:id="0"/>
          </w:p>
          <w:p w:rsidR="00903D81" w:rsidRPr="00606066" w:rsidRDefault="00903D81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D24EDC" w:rsidRPr="00E972AF" w:rsidRDefault="00C1513E" w:rsidP="00D24ED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Options possible </w:t>
            </w:r>
          </w:p>
          <w:p w:rsidR="00AD38C9" w:rsidRPr="00C1513E" w:rsidRDefault="00AD38C9" w:rsidP="00F97D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проекта, цели) 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concept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(project description, goals)</w:t>
            </w:r>
          </w:p>
        </w:tc>
      </w:tr>
      <w:tr w:rsidR="00AD38C9" w:rsidRPr="00E9213F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903D81" w:rsidRPr="00897350" w:rsidRDefault="00897350" w:rsidP="00053E4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«гибких» производственных мощностей механообрабатывающего производства с обновлением активной части основных фондов, позволяющих повысить качество и надежность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повысить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изводительность труда. На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производственных мощностях предполагается выпуск всей номенкл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деталей карданных валов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дач, а также сборка гидравлических амортизаторов.</w:t>
            </w:r>
          </w:p>
        </w:tc>
        <w:tc>
          <w:tcPr>
            <w:tcW w:w="4854" w:type="dxa"/>
          </w:tcPr>
          <w:p w:rsidR="00AD38C9" w:rsidRPr="00C1513E" w:rsidRDefault="00C1513E" w:rsidP="00D24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Establishing of “flexible”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manufacturing </w:t>
            </w:r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facil</w:t>
            </w:r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</w:t>
            </w:r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ties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of </w:t>
            </w:r>
            <w:r w:rsidRPr="00C15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mechanical processing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division </w:t>
            </w:r>
            <w:r w:rsidRPr="00C15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with the updating of the active part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 main </w:t>
            </w:r>
            <w:r w:rsidRPr="00C15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facilities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resulting in</w:t>
            </w:r>
            <w:r w:rsidRPr="00C1513E">
              <w:rPr>
                <w:rFonts w:ascii="Times New Roman" w:hAnsi="Times New Roman" w:cs="Times New Roman"/>
                <w:lang w:val="en-US"/>
              </w:rPr>
              <w:t xml:space="preserve"> the</w:t>
            </w:r>
            <w:r>
              <w:rPr>
                <w:lang w:val="en-US"/>
              </w:rPr>
              <w:t xml:space="preserve"> </w:t>
            </w:r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improve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ment</w:t>
            </w:r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of</w:t>
            </w:r>
            <w:r w:rsidR="00E972A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the </w:t>
            </w:r>
            <w:proofErr w:type="gramStart"/>
            <w:r w:rsidR="00E972AF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produced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auto</w:t>
            </w:r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components</w:t>
            </w:r>
            <w:proofErr w:type="spellEnd"/>
            <w:proofErr w:type="gramEnd"/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quality and reliabil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ity, as well as in </w:t>
            </w:r>
            <w:proofErr w:type="spellStart"/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labour</w:t>
            </w:r>
            <w:proofErr w:type="spellEnd"/>
            <w:r w:rsidRPr="00C1513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productivity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rise.</w:t>
            </w:r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Renewed </w:t>
            </w:r>
            <w:r w:rsid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man</w:t>
            </w:r>
            <w:r w:rsid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</w:t>
            </w:r>
            <w:r w:rsid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facturing</w:t>
            </w:r>
            <w:r w:rsidR="00D24EDC"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facilities are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planned to be</w:t>
            </w:r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capable of manufacturing of whole variety of </w:t>
            </w:r>
            <w:proofErr w:type="spellStart"/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driveshafts</w:t>
            </w:r>
            <w:proofErr w:type="spellEnd"/>
            <w:r w:rsidRPr="00024E3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, </w:t>
            </w:r>
            <w:r w:rsid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gimbal drives, </w:t>
            </w:r>
            <w:r w:rsidR="00D24EDC" w:rsidRP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as well as the assembly of h</w:t>
            </w:r>
            <w:r w:rsidR="00D24EDC" w:rsidRP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y</w:t>
            </w:r>
            <w:r w:rsidR="00D24EDC" w:rsidRP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draulic shock </w:t>
            </w:r>
            <w:r w:rsid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-</w:t>
            </w:r>
            <w:r w:rsidR="00D24EDC" w:rsidRPr="00D24ED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absorbers.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проекта, лет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 for project implementation, years</w:t>
            </w:r>
          </w:p>
        </w:tc>
      </w:tr>
      <w:tr w:rsidR="00903D81" w:rsidRPr="00606066" w:rsidTr="00A977EF">
        <w:tc>
          <w:tcPr>
            <w:tcW w:w="456" w:type="dxa"/>
            <w:vMerge/>
          </w:tcPr>
          <w:p w:rsidR="00903D81" w:rsidRPr="00606066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903D81" w:rsidRPr="00CF298F" w:rsidRDefault="00CF298F" w:rsidP="00CF298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стадия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 на данном этапе, степень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stage of the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 have been done, degree of project readiness)</w:t>
            </w:r>
          </w:p>
        </w:tc>
      </w:tr>
      <w:tr w:rsidR="00AD38C9" w:rsidRPr="004E4663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AD38C9" w:rsidRPr="004E4663" w:rsidRDefault="00CF298F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3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</w:p>
          <w:p w:rsidR="00903D81" w:rsidRPr="00606066" w:rsidRDefault="00903D81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4E4663" w:rsidRPr="004E4663" w:rsidRDefault="004E4663" w:rsidP="004E4663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4E4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usiness-plan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has been </w:t>
            </w:r>
            <w:r w:rsidRPr="004E4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elaborate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</w:p>
          <w:p w:rsidR="00AD38C9" w:rsidRPr="00606066" w:rsidRDefault="00AD38C9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(технологии, услуги) 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 (technology, service) overview</w:t>
            </w:r>
          </w:p>
        </w:tc>
      </w:tr>
      <w:tr w:rsidR="00AD38C9" w:rsidRPr="00E9213F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3D81" w:rsidRPr="00B565C3" w:rsidRDefault="00B565C3" w:rsidP="00B565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Карданные валы автомобильного типа соответствуют требованиям СТБ 1686-2006. Ресурс карданных валов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превышает 500 000 км. пробега. В процессе производства применяются высокопроизводительные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обработки</w:t>
            </w:r>
          </w:p>
        </w:tc>
        <w:tc>
          <w:tcPr>
            <w:tcW w:w="4854" w:type="dxa"/>
          </w:tcPr>
          <w:p w:rsidR="00AD38C9" w:rsidRPr="00D24EDC" w:rsidRDefault="00007D4E" w:rsidP="00D51C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Drive</w:t>
            </w:r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shafts</w:t>
            </w:r>
            <w:proofErr w:type="spellEnd"/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automotive type 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STB 1686-2006</w:t>
            </w:r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requirements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EDC" w:rsidRPr="00D24E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lifetime of </w:t>
            </w:r>
            <w:proofErr w:type="spellStart"/>
            <w:r w:rsidRPr="00007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Belcard</w:t>
            </w:r>
            <w:proofErr w:type="spellEnd"/>
            <w:r w:rsidRPr="00007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 xml:space="preserve"> JSC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driveshafts</w:t>
            </w:r>
            <w:proofErr w:type="spellEnd"/>
            <w:r w:rsidR="00D24EDC" w:rsidRPr="00D24E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exceeds</w:t>
            </w:r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500 000 km. </w:t>
            </w:r>
            <w:r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24EDC" w:rsidRPr="0000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run.</w:t>
            </w:r>
            <w:r w:rsidR="00D24EDC" w:rsidRPr="00D24E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D51C26" w:rsidRPr="00D5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High-duty</w:t>
            </w:r>
            <w:r w:rsidR="00D51C26" w:rsidRPr="00D51C26">
              <w:rPr>
                <w:lang w:val="en-US"/>
              </w:rPr>
              <w:t xml:space="preserve"> </w:t>
            </w:r>
            <w:r w:rsidR="00D51C26" w:rsidRPr="00D51C26">
              <w:rPr>
                <w:rFonts w:ascii="Times New Roman" w:hAnsi="Times New Roman" w:cs="Times New Roman"/>
                <w:lang w:val="en-US"/>
              </w:rPr>
              <w:t>types of treatment</w:t>
            </w:r>
            <w:r w:rsidR="00D51C26" w:rsidRPr="00D51C26">
              <w:rPr>
                <w:lang w:val="en-US"/>
              </w:rPr>
              <w:t xml:space="preserve"> </w:t>
            </w:r>
            <w:r w:rsidR="00D51C26" w:rsidRPr="00D5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D24EDC" w:rsidRPr="00D5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in the manufa</w:t>
            </w:r>
            <w:r w:rsidR="00D24EDC" w:rsidRPr="00D5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24EDC" w:rsidRPr="00D5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turing process</w:t>
            </w:r>
            <w:r w:rsid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преимущества проекта, конкурентные преимущества проду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advantages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competitive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advantages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project</w:t>
            </w:r>
          </w:p>
        </w:tc>
      </w:tr>
      <w:tr w:rsidR="00AD38C9" w:rsidRPr="00E9213F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903D81" w:rsidRPr="00B44C28" w:rsidRDefault="00B44C28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 дальнейшее наращ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производства карданных валов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«Белкард-2000», которые защищены патентами в РБ, РФ, Украине, и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ствуют по своим характеристикам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мировым образцам</w:t>
            </w:r>
          </w:p>
        </w:tc>
        <w:tc>
          <w:tcPr>
            <w:tcW w:w="4854" w:type="dxa"/>
          </w:tcPr>
          <w:p w:rsidR="00AD38C9" w:rsidRPr="00E972AF" w:rsidRDefault="004E4663" w:rsidP="00E97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plan 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further </w:t>
            </w:r>
            <w:r w:rsidR="00D51C26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 of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C26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"Belcard-2000"</w:t>
            </w:r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driveshafts</w:t>
            </w:r>
            <w:proofErr w:type="spellEnd"/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are patented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Republic of Belarus, the Russian Feder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tion, Ukraine, and </w:t>
            </w:r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</w:t>
            </w:r>
            <w:r w:rsidR="00E972AF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comply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72AF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their cha</w:t>
            </w:r>
            <w:r w:rsidR="00E972AF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972AF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acteristics</w:t>
            </w:r>
            <w:r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72AF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D24EDC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best world standards</w:t>
            </w:r>
            <w:r w:rsidR="00E972AF" w:rsidRPr="00E9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рынок и рыночные возмо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ности, планируемое распределение объема продаж по странам/регионам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Target market and market opportunities, planned sales volume distribution by cou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tries/regions</w:t>
            </w:r>
          </w:p>
        </w:tc>
      </w:tr>
      <w:tr w:rsidR="00AD38C9" w:rsidRPr="00606066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903D81" w:rsidRPr="00606066" w:rsidRDefault="00CF298F" w:rsidP="00406B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экспортных поставок – 75%</w:t>
            </w:r>
          </w:p>
        </w:tc>
        <w:tc>
          <w:tcPr>
            <w:tcW w:w="4854" w:type="dxa"/>
          </w:tcPr>
          <w:p w:rsidR="00AD38C9" w:rsidRPr="00E663C2" w:rsidRDefault="00E663C2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Start"/>
            <w:r w:rsidRPr="00E663C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xport</w:t>
            </w:r>
            <w:proofErr w:type="spellEnd"/>
            <w:r w:rsidRPr="00E663C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3C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ratio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проекта,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investment amount, USD</w:t>
            </w:r>
          </w:p>
        </w:tc>
      </w:tr>
      <w:tr w:rsidR="00903D81" w:rsidTr="00A977EF">
        <w:tc>
          <w:tcPr>
            <w:tcW w:w="456" w:type="dxa"/>
            <w:vMerge/>
          </w:tcPr>
          <w:p w:rsidR="00903D81" w:rsidRPr="00AD38C9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</w:tcPr>
          <w:p w:rsidR="00903D81" w:rsidRPr="00AD38C9" w:rsidRDefault="00CF298F" w:rsidP="00CF298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15 800 000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Вклад инициатора проекта, в т.ч. 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буемый объем инвестиций,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A43CBA" w:rsidRDefault="0016747F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 of the project initiator, incl. the amount of initiator investments, USD</w:t>
            </w:r>
          </w:p>
        </w:tc>
      </w:tr>
      <w:tr w:rsidR="00E663C2" w:rsidRPr="0016747F" w:rsidTr="00A977EF">
        <w:tc>
          <w:tcPr>
            <w:tcW w:w="456" w:type="dxa"/>
            <w:vMerge/>
          </w:tcPr>
          <w:p w:rsidR="00E663C2" w:rsidRPr="0016747F" w:rsidRDefault="00E663C2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E663C2" w:rsidRPr="0016747F" w:rsidRDefault="00E663C2" w:rsidP="00E6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4 141 000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Необходимый вклад инвесторов, в т.ч. требуемый объем инвестиций,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A43CBA" w:rsidRDefault="0016747F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expected contribution of the investor, incl. financial requirement for investor, USD</w:t>
            </w:r>
          </w:p>
        </w:tc>
      </w:tr>
      <w:tr w:rsidR="00E663C2" w:rsidRPr="0016747F" w:rsidTr="00A977EF">
        <w:tc>
          <w:tcPr>
            <w:tcW w:w="456" w:type="dxa"/>
            <w:vMerge/>
          </w:tcPr>
          <w:p w:rsidR="00E663C2" w:rsidRPr="0016747F" w:rsidRDefault="00E663C2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E663C2" w:rsidRPr="0016747F" w:rsidRDefault="00E663C2" w:rsidP="00E6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11 659 000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Pay-back period, years</w:t>
            </w:r>
          </w:p>
        </w:tc>
      </w:tr>
      <w:tr w:rsidR="00903D81" w:rsidTr="00A977EF">
        <w:tc>
          <w:tcPr>
            <w:tcW w:w="456" w:type="dxa"/>
            <w:vMerge/>
          </w:tcPr>
          <w:p w:rsidR="00903D81" w:rsidRPr="00AD38C9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</w:tcPr>
          <w:p w:rsidR="00903D81" w:rsidRPr="00AD38C9" w:rsidRDefault="00CF298F" w:rsidP="00CF298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Чистый дисконтированный доход (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 present value (NPV), USD</w:t>
            </w:r>
          </w:p>
        </w:tc>
      </w:tr>
      <w:tr w:rsidR="00E663C2" w:rsidRPr="00A43CBA" w:rsidTr="00A977EF">
        <w:tc>
          <w:tcPr>
            <w:tcW w:w="456" w:type="dxa"/>
            <w:vMerge/>
          </w:tcPr>
          <w:p w:rsidR="00E663C2" w:rsidRPr="00A43CBA" w:rsidRDefault="00E663C2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E663C2" w:rsidRPr="00A43CBA" w:rsidRDefault="00E663C2" w:rsidP="00A977E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2" w:type="dxa"/>
          </w:tcPr>
          <w:p w:rsidR="00AD38C9" w:rsidRPr="00932127" w:rsidRDefault="00932127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норма доходности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(IRR), %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 rate of return (IRR),%</w:t>
            </w:r>
          </w:p>
        </w:tc>
      </w:tr>
      <w:tr w:rsidR="00903D81" w:rsidRPr="00A43CBA" w:rsidTr="00A977EF">
        <w:tc>
          <w:tcPr>
            <w:tcW w:w="456" w:type="dxa"/>
            <w:vMerge/>
          </w:tcPr>
          <w:p w:rsidR="00903D81" w:rsidRPr="00A43CBA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903D81" w:rsidRPr="00A43CBA" w:rsidRDefault="00CF298F" w:rsidP="00A977E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2" w:type="dxa"/>
          </w:tcPr>
          <w:p w:rsidR="00AD38C9" w:rsidRPr="00932127" w:rsidRDefault="00932127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проекту: ФИО, должность, компания, телефон,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person: name, position, company, phone, e-mail</w:t>
            </w:r>
          </w:p>
        </w:tc>
      </w:tr>
      <w:tr w:rsidR="00AD38C9" w:rsidRPr="00E663C2" w:rsidTr="00AD38C9">
        <w:tc>
          <w:tcPr>
            <w:tcW w:w="456" w:type="dxa"/>
            <w:vMerge/>
          </w:tcPr>
          <w:p w:rsidR="00AD38C9" w:rsidRPr="00A43CBA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903D81" w:rsidRPr="00CF298F" w:rsidRDefault="00221F86" w:rsidP="00221F8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F298F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CF298F"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 w:rsidR="00CF298F">
              <w:rPr>
                <w:rFonts w:ascii="Times New Roman" w:hAnsi="Times New Roman" w:cs="Times New Roman"/>
                <w:sz w:val="24"/>
                <w:szCs w:val="24"/>
              </w:rPr>
              <w:t xml:space="preserve">» г. Гродно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  <w:r w:rsidR="00CF298F">
              <w:rPr>
                <w:rFonts w:ascii="Times New Roman" w:hAnsi="Times New Roman" w:cs="Times New Roman"/>
                <w:sz w:val="24"/>
                <w:szCs w:val="24"/>
              </w:rPr>
              <w:t xml:space="preserve">, (0152) 52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E663C2" w:rsidRPr="00BC1AD9" w:rsidRDefault="00E663C2" w:rsidP="00E663C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1F4">
              <w:rPr>
                <w:rFonts w:ascii="Times New Roman" w:hAnsi="Times New Roman"/>
                <w:sz w:val="24"/>
                <w:szCs w:val="24"/>
                <w:lang w:val="en-US"/>
              </w:rPr>
              <w:t>Deputy Director for Technical Development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E277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Belcard</w:t>
            </w:r>
            <w:proofErr w:type="spellEnd"/>
            <w:r w:rsidRPr="00E277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 xml:space="preserve"> JSC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, Grodno</w:t>
            </w:r>
          </w:p>
          <w:p w:rsidR="00E663C2" w:rsidRDefault="00E663C2" w:rsidP="00E663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Gennad</w:t>
            </w:r>
            <w:r w:rsidRPr="00C67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C67E41">
              <w:rPr>
                <w:rFonts w:ascii="Times New Roman" w:hAnsi="Times New Roman"/>
                <w:sz w:val="24"/>
                <w:szCs w:val="24"/>
                <w:lang w:val="en-US"/>
              </w:rPr>
              <w:t>Kostyukovich</w:t>
            </w:r>
            <w:proofErr w:type="spellEnd"/>
          </w:p>
          <w:p w:rsidR="00AD38C9" w:rsidRPr="00E663C2" w:rsidRDefault="00E663C2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</w:t>
            </w:r>
            <w:r w:rsidRPr="00E6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(0152) 52 41 18</w:t>
            </w:r>
          </w:p>
        </w:tc>
      </w:tr>
      <w:tr w:rsidR="00AD38C9" w:rsidRPr="00E9213F" w:rsidTr="00AD38C9">
        <w:tc>
          <w:tcPr>
            <w:tcW w:w="456" w:type="dxa"/>
            <w:vMerge w:val="restart"/>
          </w:tcPr>
          <w:p w:rsidR="00AD38C9" w:rsidRPr="00E663C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72" w:type="dxa"/>
          </w:tcPr>
          <w:p w:rsidR="00AD38C9" w:rsidRPr="00E663C2" w:rsidRDefault="00932127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заполнения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filling in the form</w:t>
            </w:r>
          </w:p>
        </w:tc>
      </w:tr>
      <w:tr w:rsidR="00903D81" w:rsidRPr="00E663C2" w:rsidTr="00A977EF">
        <w:tc>
          <w:tcPr>
            <w:tcW w:w="456" w:type="dxa"/>
            <w:vMerge/>
          </w:tcPr>
          <w:p w:rsidR="00903D81" w:rsidRPr="00A43CBA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903D81" w:rsidRPr="00A43CBA" w:rsidRDefault="00CF298F" w:rsidP="00CF298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16.12.2016</w:t>
            </w:r>
          </w:p>
        </w:tc>
      </w:tr>
    </w:tbl>
    <w:p w:rsidR="00AD38C9" w:rsidRPr="00A43CBA" w:rsidRDefault="00AD38C9" w:rsidP="00AD38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38C9" w:rsidRPr="00A43CBA" w:rsidSect="00CC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F0C"/>
    <w:multiLevelType w:val="multilevel"/>
    <w:tmpl w:val="8ABE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9"/>
    <w:rsid w:val="00001F34"/>
    <w:rsid w:val="00007D4E"/>
    <w:rsid w:val="00053E49"/>
    <w:rsid w:val="001530DC"/>
    <w:rsid w:val="0016747F"/>
    <w:rsid w:val="00221F86"/>
    <w:rsid w:val="002817FA"/>
    <w:rsid w:val="00406B1A"/>
    <w:rsid w:val="004E4663"/>
    <w:rsid w:val="00606066"/>
    <w:rsid w:val="00651209"/>
    <w:rsid w:val="00670B81"/>
    <w:rsid w:val="007D1AAC"/>
    <w:rsid w:val="00897350"/>
    <w:rsid w:val="00903D81"/>
    <w:rsid w:val="00932127"/>
    <w:rsid w:val="00934D20"/>
    <w:rsid w:val="009B1208"/>
    <w:rsid w:val="00A43CBA"/>
    <w:rsid w:val="00A977EF"/>
    <w:rsid w:val="00AD38C9"/>
    <w:rsid w:val="00B44C28"/>
    <w:rsid w:val="00B565C3"/>
    <w:rsid w:val="00C01E71"/>
    <w:rsid w:val="00C1513E"/>
    <w:rsid w:val="00CC1D5E"/>
    <w:rsid w:val="00CC53EB"/>
    <w:rsid w:val="00CF298F"/>
    <w:rsid w:val="00D24EDC"/>
    <w:rsid w:val="00D51C26"/>
    <w:rsid w:val="00E663C2"/>
    <w:rsid w:val="00E9213F"/>
    <w:rsid w:val="00E972AF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6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6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58FA-E782-44CB-ABFB-32D6E1E5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OKS_1</dc:creator>
  <cp:lastModifiedBy>user</cp:lastModifiedBy>
  <cp:revision>2</cp:revision>
  <cp:lastPrinted>2016-12-16T12:29:00Z</cp:lastPrinted>
  <dcterms:created xsi:type="dcterms:W3CDTF">2017-01-17T15:29:00Z</dcterms:created>
  <dcterms:modified xsi:type="dcterms:W3CDTF">2017-01-17T15:29:00Z</dcterms:modified>
</cp:coreProperties>
</file>