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6A" w:rsidRPr="001B40CA" w:rsidRDefault="000A226A" w:rsidP="0000124C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1B40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Форма предложения инвест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иционного проекта</w:t>
      </w:r>
    </w:p>
    <w:p w:rsidR="000A226A" w:rsidRPr="0000124C" w:rsidRDefault="000A226A" w:rsidP="0000124C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1B40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Investment</w:t>
      </w:r>
      <w:r w:rsidRPr="000D45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1B40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proj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ect</w:t>
      </w:r>
      <w:r w:rsidRPr="000D45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proposal</w:t>
      </w:r>
      <w:r w:rsidRPr="000D45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form</w:t>
      </w:r>
    </w:p>
    <w:p w:rsidR="000A226A" w:rsidRPr="0000124C" w:rsidRDefault="000A226A" w:rsidP="0000124C">
      <w:pP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</w:pPr>
    </w:p>
    <w:tbl>
      <w:tblPr>
        <w:tblW w:w="10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9"/>
        <w:gridCol w:w="6"/>
        <w:gridCol w:w="4818"/>
      </w:tblGrid>
      <w:tr w:rsidR="000A226A" w:rsidRPr="004B52F9" w:rsidTr="004F5ED4">
        <w:trPr>
          <w:trHeight w:val="330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проекта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Project name</w:t>
            </w:r>
          </w:p>
        </w:tc>
      </w:tr>
      <w:tr w:rsidR="000A226A" w:rsidRPr="004B52F9" w:rsidTr="004F5ED4">
        <w:trPr>
          <w:trHeight w:val="390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Создание мощностей и увеличение объемов производства и реализации карьерных самосвалов грузоподъемностью 90-450 тонн</w:t>
            </w:r>
          </w:p>
        </w:tc>
        <w:tc>
          <w:tcPr>
            <w:tcW w:w="4818" w:type="dxa"/>
          </w:tcPr>
          <w:p w:rsidR="000A226A" w:rsidRPr="004B52F9" w:rsidRDefault="000A226A" w:rsidP="00F25C69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Construction of facilities and increase in sales and production volume of mining dump trucks with payload capacity of 90-450 tons.</w:t>
            </w:r>
          </w:p>
        </w:tc>
      </w:tr>
      <w:tr w:rsidR="000A226A" w:rsidRPr="004B52F9" w:rsidTr="004F5ED4">
        <w:trPr>
          <w:trHeight w:val="375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Инициатор проекта 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Project initiator name</w:t>
            </w:r>
          </w:p>
        </w:tc>
      </w:tr>
      <w:tr w:rsidR="000A226A" w:rsidRPr="004B52F9" w:rsidTr="004F5ED4">
        <w:trPr>
          <w:trHeight w:val="330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ОАО «БЕЛАЗ» – управляющая компания холдинга «БЕЛАЗ-ХОЛДИНГ»</w:t>
            </w:r>
          </w:p>
        </w:tc>
        <w:tc>
          <w:tcPr>
            <w:tcW w:w="4818" w:type="dxa"/>
          </w:tcPr>
          <w:p w:rsidR="000A226A" w:rsidRPr="004B52F9" w:rsidRDefault="000A226A" w:rsidP="00717513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F5E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JSC BELAZ – Management Company of Holding “BELAZ-HOLDING”</w:t>
            </w:r>
          </w:p>
        </w:tc>
      </w:tr>
      <w:tr w:rsidR="000A226A" w:rsidRPr="004B52F9" w:rsidTr="004F5ED4">
        <w:trPr>
          <w:trHeight w:val="375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Место реализации проекта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Project location</w:t>
            </w:r>
          </w:p>
        </w:tc>
      </w:tr>
      <w:tr w:rsidR="000A226A" w:rsidRPr="004B52F9" w:rsidTr="004F5ED4">
        <w:trPr>
          <w:trHeight w:val="345"/>
        </w:trPr>
        <w:tc>
          <w:tcPr>
            <w:tcW w:w="5215" w:type="dxa"/>
            <w:gridSpan w:val="2"/>
          </w:tcPr>
          <w:p w:rsidR="000A226A" w:rsidRPr="004F5ED4" w:rsidRDefault="000A226A" w:rsidP="004F5ED4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г. Жодино,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Минская область</w:t>
            </w:r>
          </w:p>
        </w:tc>
        <w:tc>
          <w:tcPr>
            <w:tcW w:w="4818" w:type="dxa"/>
          </w:tcPr>
          <w:p w:rsidR="000A226A" w:rsidRPr="004F5ED4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Zhodino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shd w:val="clear" w:color="auto" w:fill="FFFFFF"/>
                    <w:lang w:val="en-US" w:eastAsia="ru-RU"/>
                  </w:rPr>
                  <w:t>Minsk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region</w:t>
            </w:r>
          </w:p>
        </w:tc>
      </w:tr>
      <w:tr w:rsidR="000A226A" w:rsidRPr="004B52F9" w:rsidTr="004F5ED4">
        <w:trPr>
          <w:trHeight w:val="522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Форма участия инвестора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(С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П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новое предприятие, ГЧП, иная), распределение долей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Form of participation of the investor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(JV, a new enterprise, PPP, other), distribution of shares</w:t>
            </w:r>
          </w:p>
        </w:tc>
      </w:tr>
      <w:tr w:rsidR="000A226A" w:rsidRPr="004B52F9" w:rsidTr="004F5ED4">
        <w:trPr>
          <w:trHeight w:val="390"/>
        </w:trPr>
        <w:tc>
          <w:tcPr>
            <w:tcW w:w="5215" w:type="dxa"/>
            <w:gridSpan w:val="2"/>
          </w:tcPr>
          <w:p w:rsidR="000A226A" w:rsidRPr="004F5ED4" w:rsidRDefault="000A226A" w:rsidP="00536137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Предоставление долгосрочной кредитной линии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Provision of a long-term credit line.</w:t>
            </w:r>
          </w:p>
        </w:tc>
      </w:tr>
      <w:tr w:rsidR="000A226A" w:rsidRPr="004B52F9" w:rsidTr="004F5ED4">
        <w:trPr>
          <w:trHeight w:val="390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Концепция проекта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(описание проекта, цели) 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max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900 символов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Project concept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(project description, goals) max 900 characters</w:t>
            </w:r>
          </w:p>
        </w:tc>
      </w:tr>
      <w:tr w:rsidR="000A226A" w:rsidRPr="004B52F9" w:rsidTr="004F5ED4">
        <w:trPr>
          <w:trHeight w:val="319"/>
        </w:trPr>
        <w:tc>
          <w:tcPr>
            <w:tcW w:w="5215" w:type="dxa"/>
            <w:gridSpan w:val="2"/>
          </w:tcPr>
          <w:p w:rsidR="000A226A" w:rsidRPr="004B52F9" w:rsidRDefault="000A226A" w:rsidP="004F5ED4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F5E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Целью инвестиционного проекта является модернизация и техническое перевооружение предприятия для развития существующих и создания новых производственных мощностей по производству большегрузных карьерных самосвалов. В рамках проекта планируется приобретение, монтаж и запуск в эксплуатацию около 140 единиц оборудования, в том числе более 50 единиц оборудования с ЧПУ. Реализация инвестиционного проекта позволит создать производственные мощности по карьерным самосвалам грузоподъемностью 90-450 тонн в объеме 838 единиц.</w:t>
            </w:r>
          </w:p>
        </w:tc>
        <w:tc>
          <w:tcPr>
            <w:tcW w:w="4818" w:type="dxa"/>
          </w:tcPr>
          <w:p w:rsidR="000A226A" w:rsidRPr="004B52F9" w:rsidRDefault="000A226A" w:rsidP="00F94F99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2F9">
              <w:rPr>
                <w:rFonts w:ascii="Times New Roman" w:hAnsi="Times New Roman"/>
                <w:sz w:val="24"/>
                <w:szCs w:val="24"/>
              </w:rPr>
              <w:t xml:space="preserve">The aim of the project is modernization and technical re-equipment of the enterprise for development of existing and creation of new capacities for the production of heavy-duty dump trucks. Within the project it is </w:t>
            </w:r>
            <w:r w:rsidRPr="00B434CD">
              <w:rPr>
                <w:rFonts w:ascii="Times New Roman" w:hAnsi="Times New Roman"/>
                <w:sz w:val="24"/>
                <w:szCs w:val="24"/>
              </w:rPr>
              <w:t xml:space="preserve">planned to purchase, install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launch</w:t>
            </w:r>
            <w:r w:rsidRPr="00B4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2F9">
              <w:rPr>
                <w:rFonts w:ascii="Times New Roman" w:hAnsi="Times New Roman"/>
                <w:sz w:val="24"/>
                <w:szCs w:val="24"/>
              </w:rPr>
              <w:t>approximately 140 pieces of equipment, including more than 50 units of CNC equipment. The implementation of the investment project will create production facility for dump trucks with a capacity of 90-450 tons in the amount of 838 units.</w:t>
            </w:r>
          </w:p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0A226A" w:rsidRPr="004B52F9" w:rsidTr="004F5ED4">
        <w:trPr>
          <w:trHeight w:val="375"/>
        </w:trPr>
        <w:tc>
          <w:tcPr>
            <w:tcW w:w="5215" w:type="dxa"/>
            <w:gridSpan w:val="2"/>
          </w:tcPr>
          <w:p w:rsidR="000A226A" w:rsidRPr="004B52F9" w:rsidRDefault="000A226A" w:rsidP="00B434CD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Период реализации проекта</w:t>
            </w:r>
          </w:p>
        </w:tc>
        <w:tc>
          <w:tcPr>
            <w:tcW w:w="4818" w:type="dxa"/>
          </w:tcPr>
          <w:p w:rsidR="000A226A" w:rsidRPr="004B52F9" w:rsidRDefault="000A226A" w:rsidP="00B434CD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0E028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Project implementation period</w:t>
            </w:r>
          </w:p>
        </w:tc>
      </w:tr>
      <w:bookmarkStart w:id="0" w:name="ТекстовоеПоле8"/>
      <w:tr w:rsidR="000A226A" w:rsidRPr="004B52F9" w:rsidTr="00B434CD">
        <w:trPr>
          <w:trHeight w:val="345"/>
        </w:trPr>
        <w:tc>
          <w:tcPr>
            <w:tcW w:w="5209" w:type="dxa"/>
          </w:tcPr>
          <w:p w:rsidR="000A226A" w:rsidRPr="00B434CD" w:rsidRDefault="000A226A" w:rsidP="00BF04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52F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4B52F9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4B52F9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4B52F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9</w:t>
            </w:r>
            <w:r w:rsidRPr="004B52F9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4824" w:type="dxa"/>
            <w:gridSpan w:val="2"/>
          </w:tcPr>
          <w:p w:rsidR="000A226A" w:rsidRPr="00B434CD" w:rsidRDefault="000A226A" w:rsidP="00B434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years</w:t>
            </w:r>
          </w:p>
        </w:tc>
      </w:tr>
      <w:tr w:rsidR="000A226A" w:rsidRPr="004B52F9" w:rsidTr="004F5ED4">
        <w:trPr>
          <w:trHeight w:val="494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Текущая стадия проекта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(что реализовано на данном этапе, степень готовности)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Current stage of the project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(what has been done, degree of project readiness)</w:t>
            </w:r>
          </w:p>
        </w:tc>
      </w:tr>
      <w:tr w:rsidR="000A226A" w:rsidRPr="004B52F9" w:rsidTr="004F5ED4">
        <w:trPr>
          <w:trHeight w:val="375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По строительству дополнительных производственных площадей блоков цехов №3: завершено строительство корпуса ПСТМ (производство сверхтяжелых машин) общей площадью 25,1 тыс. м</w:t>
            </w:r>
            <w:r w:rsidRPr="00B434CD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ru-RU" w:eastAsia="ru-RU"/>
              </w:rPr>
              <w:t>2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, введен в промышленную эксплуатацию окрасочный комплекс для окраски компонентов карьерных самосвалов большой и особо большой грузоподъемности.</w:t>
            </w:r>
          </w:p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Введен в эксплуатацию корпус отделки и сдачи карьерных самосвалов грузоподъемностью 90-450 тонн. Ведутся пусконаладочные работы технологического оборудования окрасочного комплекса. </w:t>
            </w:r>
          </w:p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Успешно идут работы по модернизации действующего производства, размещенного в БПЦ-1 и БПЦ-2. Всего с начала реализации проекта поставлено 414 единиц нового технологического оборудования, модернизировано 148 единиц используемого оборудования.</w:t>
            </w:r>
          </w:p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Степень готовности проекта – 85 %.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With regard to the construction of additional production facilities (blocks of workshop No.3) the following has been done: construction of an extra-heavy mining dump trucks workshop has been completed (with a total area of 25,1 ths. m</w:t>
            </w:r>
            <w:r w:rsidRPr="00B434CD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en-US" w:eastAsia="ru-RU"/>
              </w:rPr>
              <w:t>2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), a painting complex for the painting of parts of heavy and extra-heavy dump trucks has been placed in commercial operation.</w:t>
            </w:r>
          </w:p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Finishing and commissioning workshop of dump trucks with payload capacity of 90-450 tons has been commissioned. Pre-commissioning procedures of painting complex technological equipment are being conducted.</w:t>
            </w:r>
          </w:p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The existing production facilities located in blocks of workshops No. 1 and No. 2 are being successfully modernized. A total of 414 units of new production machinery have been supplied and 148 units of the machinery in use have been modernized.</w:t>
            </w:r>
          </w:p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Project readiness level is 85%.</w:t>
            </w:r>
          </w:p>
        </w:tc>
      </w:tr>
      <w:tr w:rsidR="000A226A" w:rsidRPr="004B52F9" w:rsidTr="004F5ED4">
        <w:trPr>
          <w:trHeight w:val="375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Краткий обзор продукта (технологии, 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услуги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max 900 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символов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 xml:space="preserve">Product (technology, service) overview </w:t>
            </w:r>
          </w:p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max 900 characters</w:t>
            </w:r>
          </w:p>
        </w:tc>
      </w:tr>
      <w:bookmarkStart w:id="1" w:name="ТекстовоеПоле3"/>
      <w:tr w:rsidR="000A226A" w:rsidRPr="004B52F9" w:rsidTr="004F5ED4">
        <w:trPr>
          <w:trHeight w:val="330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instrText xml:space="preserve"> FORMTEXT </w:instrTex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fldChar w:fldCharType="separate"/>
            </w:r>
            <w:r w:rsidRPr="004B52F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Карьерная техника, в т</w:t>
            </w:r>
            <w:r w:rsidRPr="004B52F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ru-RU" w:eastAsia="ru-RU"/>
              </w:rPr>
              <w:t>ом числе</w:t>
            </w:r>
            <w:r w:rsidRPr="004B52F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карьерные самосвалы грузоподъёмностью от 90 до 450 тонн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fldChar w:fldCharType="end"/>
            </w:r>
            <w:bookmarkEnd w:id="1"/>
          </w:p>
        </w:tc>
        <w:bookmarkStart w:id="2" w:name="ТекстовоеПоле4"/>
        <w:tc>
          <w:tcPr>
            <w:tcW w:w="4818" w:type="dxa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instrText xml:space="preserve"> FORMTEXT </w:instrTex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fldChar w:fldCharType="separate"/>
            </w:r>
            <w:r w:rsidRPr="004B52F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en-US" w:eastAsia="ru-RU"/>
              </w:rPr>
              <w:t>Mining equipment including mining dump trucks with payload capacity ranging from  90 to 450 tons.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fldChar w:fldCharType="end"/>
            </w:r>
            <w:bookmarkEnd w:id="2"/>
          </w:p>
        </w:tc>
      </w:tr>
      <w:tr w:rsidR="000A226A" w:rsidRPr="004B52F9" w:rsidTr="004F5ED4">
        <w:trPr>
          <w:trHeight w:val="498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Ключевые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преимущества проекта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, конкурентные преимущества продукта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Key advantages of the project, competitive advantages of the product</w:t>
            </w:r>
          </w:p>
        </w:tc>
      </w:tr>
      <w:tr w:rsidR="000A226A" w:rsidRPr="004B52F9" w:rsidTr="004F5ED4">
        <w:trPr>
          <w:trHeight w:val="360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Создание полного номенклатурного ряда карьерной техники большой и особо большой грузоподъемности. 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Creation of a full product line of heavy and extra-heavy mining equipment.  </w:t>
            </w:r>
          </w:p>
        </w:tc>
      </w:tr>
      <w:tr w:rsidR="000A226A" w:rsidRPr="004B52F9" w:rsidTr="004F5ED4">
        <w:trPr>
          <w:trHeight w:val="425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Целевой рынок и рыночные возможности, планируемое распределение объема продаж по странам/регионам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Target market and market opportunities, planned distribution of sales volume by countries/regions</w:t>
            </w:r>
          </w:p>
        </w:tc>
      </w:tr>
      <w:tr w:rsidR="000A226A" w:rsidRPr="004B52F9" w:rsidTr="004F5ED4">
        <w:trPr>
          <w:trHeight w:val="345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Основным рынком сбыта является рынок России и других стран СНГ. В результате реализации проекта планируется также нарастить долю стран дальнего зарубежья до 29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%. 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The main sales market is the market of </w:t>
            </w:r>
            <w:smartTag w:uri="urn:schemas-microsoft-com:office:smarttags" w:element="country-region">
              <w:smartTag w:uri="urn:schemas-microsoft-com:office:smarttags" w:element="place">
                <w:r w:rsidRPr="004B52F9">
                  <w:rPr>
                    <w:rFonts w:ascii="Times New Roman" w:hAnsi="Times New Roman"/>
                    <w:sz w:val="24"/>
                    <w:szCs w:val="24"/>
                    <w:shd w:val="clear" w:color="auto" w:fill="FFFFFF"/>
                    <w:lang w:val="en-US" w:eastAsia="ru-RU"/>
                  </w:rPr>
                  <w:t>Russia</w:t>
                </w:r>
              </w:smartTag>
            </w:smartTag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and other countries of CIS. As a result of the implementation of the project it is also planned to increase the market share of non-CIS countries up to 29%.  </w:t>
            </w:r>
          </w:p>
        </w:tc>
      </w:tr>
      <w:tr w:rsidR="000A226A" w:rsidRPr="004B52F9" w:rsidTr="004F5ED4">
        <w:trPr>
          <w:trHeight w:val="338"/>
        </w:trPr>
        <w:tc>
          <w:tcPr>
            <w:tcW w:w="5215" w:type="dxa"/>
            <w:gridSpan w:val="2"/>
          </w:tcPr>
          <w:p w:rsidR="000A226A" w:rsidRPr="0000124C" w:rsidRDefault="000A226A" w:rsidP="00BF0476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Общая сумма проекта</w:t>
            </w:r>
            <w:r w:rsidRPr="0000124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млн.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USD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 xml:space="preserve">Total investment amount, </w:t>
            </w:r>
            <w:r w:rsidRPr="000012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million 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USD</w:t>
            </w:r>
          </w:p>
        </w:tc>
      </w:tr>
      <w:tr w:rsidR="000A226A" w:rsidRPr="004B52F9" w:rsidTr="004F5ED4">
        <w:trPr>
          <w:trHeight w:val="315"/>
        </w:trPr>
        <w:tc>
          <w:tcPr>
            <w:tcW w:w="10033" w:type="dxa"/>
            <w:gridSpan w:val="3"/>
          </w:tcPr>
          <w:p w:rsidR="000A226A" w:rsidRPr="0000124C" w:rsidRDefault="000A226A" w:rsidP="00BF04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264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,5</w:t>
            </w:r>
          </w:p>
        </w:tc>
      </w:tr>
      <w:tr w:rsidR="000A226A" w:rsidRPr="004B52F9" w:rsidTr="004F5ED4">
        <w:trPr>
          <w:trHeight w:val="375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Вклад инициатора проекта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, в т.ч. объем инвестиций инициатора, 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USD</w:t>
            </w:r>
          </w:p>
        </w:tc>
        <w:tc>
          <w:tcPr>
            <w:tcW w:w="4818" w:type="dxa"/>
          </w:tcPr>
          <w:p w:rsidR="000A226A" w:rsidRPr="004B52F9" w:rsidRDefault="000A226A" w:rsidP="0095670B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Contribution of the project initiator, incl.</w:t>
            </w:r>
          </w:p>
          <w:p w:rsidR="000A226A" w:rsidRPr="004B52F9" w:rsidRDefault="000A226A" w:rsidP="0095670B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investment volume of the initiator, USD</w:t>
            </w:r>
          </w:p>
        </w:tc>
      </w:tr>
      <w:tr w:rsidR="000A226A" w:rsidRPr="004B52F9" w:rsidTr="004F5ED4">
        <w:trPr>
          <w:trHeight w:val="345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211,3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млн. 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USD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– инвестиции ОАО «БЕЛАЗ»</w:t>
            </w:r>
          </w:p>
        </w:tc>
        <w:tc>
          <w:tcPr>
            <w:tcW w:w="4818" w:type="dxa"/>
          </w:tcPr>
          <w:p w:rsidR="000A226A" w:rsidRPr="004B52F9" w:rsidRDefault="000A226A" w:rsidP="00395E3B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The investment volume of OJSC BELAZ is </w:t>
            </w:r>
            <w:r w:rsidRPr="0000124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211,3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million USD.</w:t>
            </w:r>
          </w:p>
        </w:tc>
      </w:tr>
      <w:tr w:rsidR="000A226A" w:rsidRPr="004B52F9" w:rsidTr="004F5ED4">
        <w:trPr>
          <w:trHeight w:val="490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Необходимый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вклад инвестора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т.ч. 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требуемый объем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инвестици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й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 USD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Expected contribution of the investor, incl. required investment volume, USD</w:t>
            </w:r>
          </w:p>
        </w:tc>
      </w:tr>
      <w:tr w:rsidR="000A226A" w:rsidRPr="004B52F9" w:rsidTr="004F5ED4">
        <w:trPr>
          <w:trHeight w:val="360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124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53,2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млн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. USD – 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кредитная линия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The amount of the credit line is </w:t>
            </w:r>
            <w:r w:rsidRPr="0000124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53.2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million USD.</w:t>
            </w:r>
          </w:p>
        </w:tc>
      </w:tr>
      <w:tr w:rsidR="000A226A" w:rsidRPr="004B52F9" w:rsidTr="004F5ED4">
        <w:trPr>
          <w:trHeight w:val="330"/>
        </w:trPr>
        <w:tc>
          <w:tcPr>
            <w:tcW w:w="5215" w:type="dxa"/>
            <w:gridSpan w:val="2"/>
          </w:tcPr>
          <w:p w:rsidR="000A226A" w:rsidRPr="004B52F9" w:rsidRDefault="000A226A" w:rsidP="00B80E0C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Срок окупаемости проекта</w:t>
            </w:r>
          </w:p>
        </w:tc>
        <w:tc>
          <w:tcPr>
            <w:tcW w:w="4818" w:type="dxa"/>
          </w:tcPr>
          <w:p w:rsidR="000A226A" w:rsidRPr="004B52F9" w:rsidRDefault="000A226A" w:rsidP="00B80E0C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Pay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-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back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period</w:t>
            </w:r>
          </w:p>
        </w:tc>
      </w:tr>
      <w:tr w:rsidR="000A226A" w:rsidRPr="004B52F9" w:rsidTr="00B80E0C">
        <w:trPr>
          <w:trHeight w:val="390"/>
        </w:trPr>
        <w:tc>
          <w:tcPr>
            <w:tcW w:w="5209" w:type="dxa"/>
          </w:tcPr>
          <w:p w:rsidR="000A226A" w:rsidRPr="00B80E0C" w:rsidRDefault="000A226A" w:rsidP="00BF04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3.9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лет</w:t>
            </w:r>
          </w:p>
        </w:tc>
        <w:tc>
          <w:tcPr>
            <w:tcW w:w="4824" w:type="dxa"/>
            <w:gridSpan w:val="2"/>
          </w:tcPr>
          <w:p w:rsidR="000A226A" w:rsidRPr="00B80E0C" w:rsidRDefault="000A226A" w:rsidP="00BF04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3.9 </w:t>
            </w: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years</w:t>
            </w:r>
          </w:p>
        </w:tc>
      </w:tr>
      <w:tr w:rsidR="000A226A" w:rsidRPr="004B52F9" w:rsidTr="004F5ED4">
        <w:trPr>
          <w:trHeight w:val="280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b/>
                <w:spacing w:val="-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pacing w:val="-2"/>
                <w:sz w:val="24"/>
                <w:szCs w:val="24"/>
                <w:shd w:val="clear" w:color="auto" w:fill="FFFFFF"/>
                <w:lang w:val="ru-RU" w:eastAsia="ru-RU"/>
              </w:rPr>
              <w:t>Чистый дисконтированный доход (</w:t>
            </w:r>
            <w:r w:rsidRPr="004B52F9">
              <w:rPr>
                <w:rFonts w:ascii="Times New Roman" w:hAnsi="Times New Roman"/>
                <w:b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>NPV</w:t>
            </w:r>
            <w:r w:rsidRPr="004B52F9">
              <w:rPr>
                <w:rFonts w:ascii="Times New Roman" w:hAnsi="Times New Roman"/>
                <w:b/>
                <w:spacing w:val="-2"/>
                <w:sz w:val="24"/>
                <w:szCs w:val="24"/>
                <w:shd w:val="clear" w:color="auto" w:fill="FFFFFF"/>
                <w:lang w:val="ru-RU" w:eastAsia="ru-RU"/>
              </w:rPr>
              <w:t xml:space="preserve">), </w:t>
            </w:r>
            <w:r w:rsidRPr="004B52F9">
              <w:rPr>
                <w:rFonts w:ascii="Times New Roman" w:hAnsi="Times New Roman"/>
                <w:b/>
                <w:spacing w:val="-2"/>
                <w:sz w:val="24"/>
                <w:szCs w:val="24"/>
                <w:shd w:val="clear" w:color="auto" w:fill="FFFFFF"/>
                <w:lang w:val="en-US" w:eastAsia="ru-RU"/>
              </w:rPr>
              <w:t>USD</w:t>
            </w:r>
          </w:p>
        </w:tc>
        <w:tc>
          <w:tcPr>
            <w:tcW w:w="4818" w:type="dxa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Net present value (NPV), USD</w:t>
            </w:r>
          </w:p>
        </w:tc>
      </w:tr>
      <w:tr w:rsidR="000A226A" w:rsidRPr="004B52F9" w:rsidTr="004F5ED4">
        <w:trPr>
          <w:trHeight w:val="315"/>
        </w:trPr>
        <w:tc>
          <w:tcPr>
            <w:tcW w:w="10033" w:type="dxa"/>
            <w:gridSpan w:val="3"/>
          </w:tcPr>
          <w:p w:rsidR="000A226A" w:rsidRPr="004B52F9" w:rsidRDefault="000A226A" w:rsidP="00BF04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instrText xml:space="preserve"> FORMTEXT </w:instrTex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fldChar w:fldCharType="separate"/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303101000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fldChar w:fldCharType="end"/>
            </w:r>
          </w:p>
        </w:tc>
      </w:tr>
      <w:tr w:rsidR="000A226A" w:rsidRPr="004B52F9" w:rsidTr="004F5ED4">
        <w:trPr>
          <w:trHeight w:val="405"/>
        </w:trPr>
        <w:tc>
          <w:tcPr>
            <w:tcW w:w="5215" w:type="dxa"/>
            <w:gridSpan w:val="2"/>
          </w:tcPr>
          <w:p w:rsidR="000A226A" w:rsidRPr="004B52F9" w:rsidRDefault="000A226A" w:rsidP="00BF0476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4B52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Внут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ренняя норма доходности (IRR)</w:t>
            </w:r>
          </w:p>
        </w:tc>
        <w:tc>
          <w:tcPr>
            <w:tcW w:w="4818" w:type="dxa"/>
          </w:tcPr>
          <w:p w:rsidR="000A226A" w:rsidRPr="00B80E0C" w:rsidRDefault="000A226A" w:rsidP="00B80E0C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Internal rate of return (IRR)</w:t>
            </w:r>
          </w:p>
        </w:tc>
      </w:tr>
      <w:bookmarkStart w:id="3" w:name="ТекстовоеПоле7"/>
      <w:tr w:rsidR="000A226A" w:rsidRPr="004B52F9" w:rsidTr="00FD197E">
        <w:trPr>
          <w:trHeight w:val="405"/>
        </w:trPr>
        <w:tc>
          <w:tcPr>
            <w:tcW w:w="10033" w:type="dxa"/>
            <w:gridSpan w:val="3"/>
          </w:tcPr>
          <w:p w:rsidR="000A226A" w:rsidRDefault="000A226A" w:rsidP="000D451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instrText xml:space="preserve"> FORMTEXT </w:instrTex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fldChar w:fldCharType="separate"/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48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.9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%</w:t>
            </w:r>
            <w:r w:rsidRPr="004B52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fldChar w:fldCharType="end"/>
            </w:r>
            <w:bookmarkEnd w:id="3"/>
          </w:p>
        </w:tc>
      </w:tr>
      <w:tr w:rsidR="000A226A" w:rsidRPr="004B52F9" w:rsidTr="004F5ED4">
        <w:trPr>
          <w:trHeight w:val="405"/>
        </w:trPr>
        <w:tc>
          <w:tcPr>
            <w:tcW w:w="5215" w:type="dxa"/>
            <w:gridSpan w:val="2"/>
          </w:tcPr>
          <w:p w:rsidR="000A226A" w:rsidRPr="00BF0476" w:rsidRDefault="000A226A" w:rsidP="00B43C68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BF047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Контактное лицо </w:t>
            </w:r>
            <w:r w:rsidRPr="00BF047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проекту: ФИО, </w:t>
            </w:r>
            <w:r w:rsidRPr="00BF047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должность, компания</w:t>
            </w:r>
            <w:r w:rsidRPr="00BF047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BF047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телефон,</w:t>
            </w:r>
            <w:r w:rsidRPr="00BF047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047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 w:rsidRPr="00BF047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F047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mail</w:t>
            </w:r>
          </w:p>
        </w:tc>
        <w:tc>
          <w:tcPr>
            <w:tcW w:w="4818" w:type="dxa"/>
          </w:tcPr>
          <w:p w:rsidR="000A226A" w:rsidRPr="00BF0476" w:rsidRDefault="000A226A" w:rsidP="00B43C68">
            <w:pPr>
              <w:spacing w:line="280" w:lineRule="exact"/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F047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Contact person: name, position, company, phone, e-mail</w:t>
            </w:r>
          </w:p>
        </w:tc>
      </w:tr>
      <w:tr w:rsidR="000A226A" w:rsidRPr="004B52F9" w:rsidTr="004F5ED4">
        <w:trPr>
          <w:trHeight w:val="405"/>
        </w:trPr>
        <w:tc>
          <w:tcPr>
            <w:tcW w:w="5215" w:type="dxa"/>
            <w:gridSpan w:val="2"/>
          </w:tcPr>
          <w:p w:rsidR="000A226A" w:rsidRPr="00BF0476" w:rsidRDefault="000A226A" w:rsidP="00B43C68">
            <w:pPr>
              <w:ind w:firstLine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ОАО «БЕЛАЗ» - управляющая компания холдинга «БЕЛАЗ-ХОЛДИНГ», Степук О.Г. – первый зам. генерального директора по технической политике и инновационным технологиям – главный инженер, тел. раб. 8(01775)32122, 8(01775)71562, факс. </w:t>
            </w:r>
            <w:r w:rsidRPr="00536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8(01775)70137, 8(01775)71562, </w:t>
            </w:r>
            <w:r w:rsidRPr="00BF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 w:rsidRPr="00536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-</w:t>
            </w:r>
            <w:r w:rsidRPr="00BF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mail</w:t>
            </w:r>
            <w:r w:rsidRPr="00536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: </w:t>
            </w:r>
            <w:hyperlink r:id="rId7" w:history="1">
              <w:r w:rsidRPr="00BF047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office</w:t>
              </w:r>
              <w:r w:rsidRPr="00536137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@</w:t>
              </w:r>
              <w:r w:rsidRPr="00BF047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belaz</w:t>
              </w:r>
              <w:r w:rsidRPr="00536137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.</w:t>
              </w:r>
              <w:r w:rsidRPr="00BF047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minsk</w:t>
              </w:r>
              <w:r w:rsidRPr="00536137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.</w:t>
              </w:r>
              <w:r w:rsidRPr="00BF047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by</w:t>
              </w:r>
            </w:hyperlink>
            <w:r w:rsidRPr="00536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hyperlink r:id="rId8" w:history="1">
              <w:r w:rsidRPr="00BF047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S</w:t>
              </w:r>
              <w:r w:rsidRPr="00536137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.</w:t>
              </w:r>
              <w:r w:rsidRPr="00BF047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Demchenko</w:t>
              </w:r>
              <w:r w:rsidRPr="00536137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@</w:t>
              </w:r>
              <w:r w:rsidRPr="00BF047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belaz</w:t>
              </w:r>
              <w:r w:rsidRPr="00536137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.</w:t>
              </w:r>
              <w:r w:rsidRPr="00BF047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minsk</w:t>
              </w:r>
              <w:r w:rsidRPr="00536137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.</w:t>
              </w:r>
              <w:r w:rsidRPr="00BF047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by</w:t>
              </w:r>
            </w:hyperlink>
            <w:r w:rsidRPr="00536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                         </w:t>
            </w:r>
            <w:r w:rsidRPr="00BF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веб</w:t>
            </w:r>
            <w:r w:rsidRPr="00536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-</w:t>
            </w:r>
            <w:r w:rsidRPr="00BF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сайт</w:t>
            </w:r>
            <w:r w:rsidRPr="00536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: </w:t>
            </w:r>
            <w:r w:rsidRPr="00BF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belaz</w:t>
            </w:r>
            <w:r w:rsidRPr="005361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..</w:t>
            </w:r>
            <w:r w:rsidRPr="00BF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by</w:t>
            </w:r>
          </w:p>
        </w:tc>
        <w:tc>
          <w:tcPr>
            <w:tcW w:w="4818" w:type="dxa"/>
          </w:tcPr>
          <w:p w:rsidR="000A226A" w:rsidRPr="00BF0476" w:rsidRDefault="000A226A" w:rsidP="00B43C68">
            <w:pPr>
              <w:ind w:firstLine="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F0476">
              <w:rPr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  <w:lang w:val="en-US" w:eastAsia="ru-RU"/>
              </w:rPr>
              <w:t xml:space="preserve">OJSC “BELAZ” – Management Company of Holding “BELAZ-HOLDING”, Mr. A.G. Stsiapuk, First Deputy General Director for Engineering Policy and Innovative Technologies – Chief Engineer, office phone  </w:t>
            </w:r>
            <w:r w:rsidRPr="00BF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8(01775)32122, 8(01775)71562, fax 8(01775)70137, 8(01775)71562, e-mail: </w:t>
            </w:r>
            <w:hyperlink r:id="rId9" w:history="1">
              <w:r w:rsidRPr="00BF047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office@belaz.minsk.by</w:t>
              </w:r>
            </w:hyperlink>
            <w:r w:rsidRPr="00BF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hyperlink r:id="rId10" w:history="1">
              <w:r w:rsidRPr="00BF047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S.Demchenko@belaz.minsk.by</w:t>
              </w:r>
            </w:hyperlink>
            <w:r w:rsidRPr="00BF0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                         web site: belaz..by</w:t>
            </w:r>
          </w:p>
        </w:tc>
      </w:tr>
    </w:tbl>
    <w:p w:rsidR="000A226A" w:rsidRDefault="000A226A" w:rsidP="00012293">
      <w:pPr>
        <w:ind w:firstLine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0A226A" w:rsidRPr="00CF76FF" w:rsidRDefault="000A226A" w:rsidP="00CF76FF">
      <w:pPr>
        <w:rPr>
          <w:rFonts w:ascii="Times New Roman" w:hAnsi="Times New Roman"/>
          <w:sz w:val="28"/>
          <w:szCs w:val="28"/>
          <w:lang w:val="en-US" w:eastAsia="ru-RU"/>
        </w:rPr>
      </w:pPr>
    </w:p>
    <w:sectPr w:rsidR="000A226A" w:rsidRPr="00CF76FF" w:rsidSect="006E1217">
      <w:pgSz w:w="11906" w:h="16838"/>
      <w:pgMar w:top="959" w:right="850" w:bottom="851" w:left="1699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6A" w:rsidRDefault="000A226A">
      <w:pPr>
        <w:spacing w:line="240" w:lineRule="auto"/>
      </w:pPr>
      <w:r>
        <w:separator/>
      </w:r>
    </w:p>
  </w:endnote>
  <w:endnote w:type="continuationSeparator" w:id="0">
    <w:p w:rsidR="000A226A" w:rsidRDefault="000A2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6A" w:rsidRDefault="000A226A">
      <w:pPr>
        <w:spacing w:line="240" w:lineRule="auto"/>
      </w:pPr>
      <w:r>
        <w:separator/>
      </w:r>
    </w:p>
  </w:footnote>
  <w:footnote w:type="continuationSeparator" w:id="0">
    <w:p w:rsidR="000A226A" w:rsidRDefault="000A22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B8F"/>
    <w:multiLevelType w:val="hybridMultilevel"/>
    <w:tmpl w:val="D6A4DEE6"/>
    <w:lvl w:ilvl="0" w:tplc="3710A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D26F0A"/>
    <w:multiLevelType w:val="hybridMultilevel"/>
    <w:tmpl w:val="D6A4DEE6"/>
    <w:lvl w:ilvl="0" w:tplc="3710A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845A2D"/>
    <w:multiLevelType w:val="hybridMultilevel"/>
    <w:tmpl w:val="2ED055D6"/>
    <w:lvl w:ilvl="0" w:tplc="3710A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3541CC"/>
    <w:multiLevelType w:val="hybridMultilevel"/>
    <w:tmpl w:val="D6A4DEE6"/>
    <w:lvl w:ilvl="0" w:tplc="3710A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6D498D"/>
    <w:multiLevelType w:val="hybridMultilevel"/>
    <w:tmpl w:val="D6A4DEE6"/>
    <w:lvl w:ilvl="0" w:tplc="3710A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0B90695"/>
    <w:multiLevelType w:val="hybridMultilevel"/>
    <w:tmpl w:val="B5643B7C"/>
    <w:lvl w:ilvl="0" w:tplc="07F0FF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984AD2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8E2995"/>
    <w:multiLevelType w:val="hybridMultilevel"/>
    <w:tmpl w:val="D6A4DEE6"/>
    <w:lvl w:ilvl="0" w:tplc="3710A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1444A5B"/>
    <w:multiLevelType w:val="hybridMultilevel"/>
    <w:tmpl w:val="D6A4DEE6"/>
    <w:lvl w:ilvl="0" w:tplc="3710A8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2DC"/>
    <w:rsid w:val="0000124C"/>
    <w:rsid w:val="00012293"/>
    <w:rsid w:val="0003283C"/>
    <w:rsid w:val="00033CCB"/>
    <w:rsid w:val="00037D0C"/>
    <w:rsid w:val="000432FC"/>
    <w:rsid w:val="00053AB4"/>
    <w:rsid w:val="0005619F"/>
    <w:rsid w:val="00060DB4"/>
    <w:rsid w:val="00066B1F"/>
    <w:rsid w:val="00070463"/>
    <w:rsid w:val="00092FFC"/>
    <w:rsid w:val="00094BDB"/>
    <w:rsid w:val="000975F4"/>
    <w:rsid w:val="00097C9D"/>
    <w:rsid w:val="000A0FCD"/>
    <w:rsid w:val="000A226A"/>
    <w:rsid w:val="000A7ABD"/>
    <w:rsid w:val="000B7401"/>
    <w:rsid w:val="000D4519"/>
    <w:rsid w:val="000D4622"/>
    <w:rsid w:val="000E0281"/>
    <w:rsid w:val="000E7552"/>
    <w:rsid w:val="000F0800"/>
    <w:rsid w:val="0010684A"/>
    <w:rsid w:val="001140E5"/>
    <w:rsid w:val="001161BD"/>
    <w:rsid w:val="001171C8"/>
    <w:rsid w:val="00121C5C"/>
    <w:rsid w:val="00126891"/>
    <w:rsid w:val="001409F8"/>
    <w:rsid w:val="00141E3F"/>
    <w:rsid w:val="00152BE1"/>
    <w:rsid w:val="0015381F"/>
    <w:rsid w:val="00155759"/>
    <w:rsid w:val="001627D6"/>
    <w:rsid w:val="00173ABE"/>
    <w:rsid w:val="0018255F"/>
    <w:rsid w:val="0019362E"/>
    <w:rsid w:val="00196D36"/>
    <w:rsid w:val="001B161D"/>
    <w:rsid w:val="001B40CA"/>
    <w:rsid w:val="001B62E0"/>
    <w:rsid w:val="001D27BE"/>
    <w:rsid w:val="001E3381"/>
    <w:rsid w:val="001E62B1"/>
    <w:rsid w:val="002223E8"/>
    <w:rsid w:val="00231481"/>
    <w:rsid w:val="002656EC"/>
    <w:rsid w:val="0029312F"/>
    <w:rsid w:val="002A1674"/>
    <w:rsid w:val="002B115F"/>
    <w:rsid w:val="002B24F9"/>
    <w:rsid w:val="002C23B7"/>
    <w:rsid w:val="00310652"/>
    <w:rsid w:val="00327ADE"/>
    <w:rsid w:val="00336F5A"/>
    <w:rsid w:val="0034574B"/>
    <w:rsid w:val="00360EF4"/>
    <w:rsid w:val="00366E9F"/>
    <w:rsid w:val="00385CCA"/>
    <w:rsid w:val="00395E3B"/>
    <w:rsid w:val="003B1FF4"/>
    <w:rsid w:val="003C2807"/>
    <w:rsid w:val="003D1AB7"/>
    <w:rsid w:val="003D5297"/>
    <w:rsid w:val="003D5E92"/>
    <w:rsid w:val="003E6FCC"/>
    <w:rsid w:val="00403F3F"/>
    <w:rsid w:val="0041569A"/>
    <w:rsid w:val="00422D4C"/>
    <w:rsid w:val="0042361C"/>
    <w:rsid w:val="00430D82"/>
    <w:rsid w:val="00431A3A"/>
    <w:rsid w:val="00447D15"/>
    <w:rsid w:val="0047413D"/>
    <w:rsid w:val="004955DD"/>
    <w:rsid w:val="004A40FB"/>
    <w:rsid w:val="004B3900"/>
    <w:rsid w:val="004B52E7"/>
    <w:rsid w:val="004B52F9"/>
    <w:rsid w:val="004B7024"/>
    <w:rsid w:val="004C0090"/>
    <w:rsid w:val="004C02F1"/>
    <w:rsid w:val="004C55FF"/>
    <w:rsid w:val="004D1E84"/>
    <w:rsid w:val="004E47C6"/>
    <w:rsid w:val="004F3C4C"/>
    <w:rsid w:val="004F5ED4"/>
    <w:rsid w:val="005153DE"/>
    <w:rsid w:val="00517069"/>
    <w:rsid w:val="005311E8"/>
    <w:rsid w:val="00536137"/>
    <w:rsid w:val="0054508D"/>
    <w:rsid w:val="00563201"/>
    <w:rsid w:val="00570DE3"/>
    <w:rsid w:val="00580850"/>
    <w:rsid w:val="00584574"/>
    <w:rsid w:val="005C1DB6"/>
    <w:rsid w:val="005C77B5"/>
    <w:rsid w:val="005E4BFF"/>
    <w:rsid w:val="00607299"/>
    <w:rsid w:val="00611C6C"/>
    <w:rsid w:val="006132EE"/>
    <w:rsid w:val="0061512A"/>
    <w:rsid w:val="0063178F"/>
    <w:rsid w:val="00644F9B"/>
    <w:rsid w:val="00653E9C"/>
    <w:rsid w:val="00663CBE"/>
    <w:rsid w:val="00664940"/>
    <w:rsid w:val="006912D1"/>
    <w:rsid w:val="00694500"/>
    <w:rsid w:val="006A2F36"/>
    <w:rsid w:val="006B1269"/>
    <w:rsid w:val="006B50E5"/>
    <w:rsid w:val="006C16D3"/>
    <w:rsid w:val="006C2938"/>
    <w:rsid w:val="006C6AD1"/>
    <w:rsid w:val="006E1217"/>
    <w:rsid w:val="006E1D9E"/>
    <w:rsid w:val="00712FE4"/>
    <w:rsid w:val="00717513"/>
    <w:rsid w:val="00767B1C"/>
    <w:rsid w:val="00781094"/>
    <w:rsid w:val="007844BE"/>
    <w:rsid w:val="007B12AD"/>
    <w:rsid w:val="007C008E"/>
    <w:rsid w:val="007C0EFE"/>
    <w:rsid w:val="007C33B7"/>
    <w:rsid w:val="007D13CE"/>
    <w:rsid w:val="007D6F07"/>
    <w:rsid w:val="007E1C41"/>
    <w:rsid w:val="007E31D2"/>
    <w:rsid w:val="007E74C1"/>
    <w:rsid w:val="007F006B"/>
    <w:rsid w:val="007F3EBE"/>
    <w:rsid w:val="0080560C"/>
    <w:rsid w:val="008105D7"/>
    <w:rsid w:val="008113D8"/>
    <w:rsid w:val="00823041"/>
    <w:rsid w:val="00840672"/>
    <w:rsid w:val="00851EE5"/>
    <w:rsid w:val="00855D44"/>
    <w:rsid w:val="008743E1"/>
    <w:rsid w:val="008747E1"/>
    <w:rsid w:val="00881890"/>
    <w:rsid w:val="008873B4"/>
    <w:rsid w:val="00895123"/>
    <w:rsid w:val="00896308"/>
    <w:rsid w:val="008B2242"/>
    <w:rsid w:val="008B7125"/>
    <w:rsid w:val="008C1BAA"/>
    <w:rsid w:val="008C2729"/>
    <w:rsid w:val="008D6891"/>
    <w:rsid w:val="008E0461"/>
    <w:rsid w:val="009130EA"/>
    <w:rsid w:val="00916BBC"/>
    <w:rsid w:val="00923D2B"/>
    <w:rsid w:val="00937405"/>
    <w:rsid w:val="00937DFE"/>
    <w:rsid w:val="009427FE"/>
    <w:rsid w:val="0095670B"/>
    <w:rsid w:val="00957E21"/>
    <w:rsid w:val="00966A1C"/>
    <w:rsid w:val="009711B0"/>
    <w:rsid w:val="0097525C"/>
    <w:rsid w:val="009A0EF9"/>
    <w:rsid w:val="009C236A"/>
    <w:rsid w:val="009D78D5"/>
    <w:rsid w:val="009F35BD"/>
    <w:rsid w:val="009F688A"/>
    <w:rsid w:val="009F7F93"/>
    <w:rsid w:val="00A05D9F"/>
    <w:rsid w:val="00A07345"/>
    <w:rsid w:val="00A16863"/>
    <w:rsid w:val="00A21090"/>
    <w:rsid w:val="00A2140A"/>
    <w:rsid w:val="00A41CF6"/>
    <w:rsid w:val="00A4675F"/>
    <w:rsid w:val="00A612C9"/>
    <w:rsid w:val="00A72E53"/>
    <w:rsid w:val="00A740C6"/>
    <w:rsid w:val="00AA11A1"/>
    <w:rsid w:val="00AA2AE3"/>
    <w:rsid w:val="00AB2490"/>
    <w:rsid w:val="00AB2C74"/>
    <w:rsid w:val="00AB398F"/>
    <w:rsid w:val="00AC3F37"/>
    <w:rsid w:val="00AC6E6C"/>
    <w:rsid w:val="00AF7F35"/>
    <w:rsid w:val="00B132F7"/>
    <w:rsid w:val="00B16D39"/>
    <w:rsid w:val="00B35931"/>
    <w:rsid w:val="00B434CD"/>
    <w:rsid w:val="00B43C68"/>
    <w:rsid w:val="00B44729"/>
    <w:rsid w:val="00B53B3F"/>
    <w:rsid w:val="00B65369"/>
    <w:rsid w:val="00B72E32"/>
    <w:rsid w:val="00B74202"/>
    <w:rsid w:val="00B744E9"/>
    <w:rsid w:val="00B80E0C"/>
    <w:rsid w:val="00B95475"/>
    <w:rsid w:val="00B96C03"/>
    <w:rsid w:val="00BA2162"/>
    <w:rsid w:val="00BB730B"/>
    <w:rsid w:val="00BF0476"/>
    <w:rsid w:val="00C06039"/>
    <w:rsid w:val="00C2725F"/>
    <w:rsid w:val="00C2742B"/>
    <w:rsid w:val="00C3746F"/>
    <w:rsid w:val="00C4097B"/>
    <w:rsid w:val="00C43426"/>
    <w:rsid w:val="00C51A18"/>
    <w:rsid w:val="00C61FBD"/>
    <w:rsid w:val="00C659D5"/>
    <w:rsid w:val="00C810D6"/>
    <w:rsid w:val="00C8524B"/>
    <w:rsid w:val="00CA7E2B"/>
    <w:rsid w:val="00CA7F11"/>
    <w:rsid w:val="00CB4558"/>
    <w:rsid w:val="00CC6A7A"/>
    <w:rsid w:val="00CE0BC6"/>
    <w:rsid w:val="00CE4568"/>
    <w:rsid w:val="00CE58A5"/>
    <w:rsid w:val="00CF76FF"/>
    <w:rsid w:val="00D06BDE"/>
    <w:rsid w:val="00D138EA"/>
    <w:rsid w:val="00D34F7B"/>
    <w:rsid w:val="00D40962"/>
    <w:rsid w:val="00D43175"/>
    <w:rsid w:val="00D62F95"/>
    <w:rsid w:val="00DA3AA0"/>
    <w:rsid w:val="00DA694A"/>
    <w:rsid w:val="00DC28E8"/>
    <w:rsid w:val="00E14744"/>
    <w:rsid w:val="00E162DC"/>
    <w:rsid w:val="00E63C60"/>
    <w:rsid w:val="00E8395D"/>
    <w:rsid w:val="00E86AA3"/>
    <w:rsid w:val="00EC41AB"/>
    <w:rsid w:val="00EC6860"/>
    <w:rsid w:val="00ED72BE"/>
    <w:rsid w:val="00EF5BA8"/>
    <w:rsid w:val="00EF7609"/>
    <w:rsid w:val="00F2490A"/>
    <w:rsid w:val="00F25C69"/>
    <w:rsid w:val="00F3666F"/>
    <w:rsid w:val="00F40F73"/>
    <w:rsid w:val="00F50EE4"/>
    <w:rsid w:val="00F63C0F"/>
    <w:rsid w:val="00F669F5"/>
    <w:rsid w:val="00F7231F"/>
    <w:rsid w:val="00F73B5C"/>
    <w:rsid w:val="00F829C6"/>
    <w:rsid w:val="00F82EEF"/>
    <w:rsid w:val="00F8350B"/>
    <w:rsid w:val="00F8556C"/>
    <w:rsid w:val="00F94F99"/>
    <w:rsid w:val="00FB365D"/>
    <w:rsid w:val="00FC7B0F"/>
    <w:rsid w:val="00FC7DD7"/>
    <w:rsid w:val="00FD197E"/>
    <w:rsid w:val="00FE6F58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DC"/>
    <w:pPr>
      <w:spacing w:line="360" w:lineRule="exact"/>
      <w:ind w:firstLine="709"/>
      <w:jc w:val="both"/>
    </w:pPr>
    <w:rPr>
      <w:rFonts w:eastAsia="SimSun"/>
      <w:lang w:val="be-BY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62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162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162DC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2DC"/>
    <w:rPr>
      <w:rFonts w:ascii="Calibri" w:eastAsia="SimSun" w:hAnsi="Calibri" w:cs="Times New Roman"/>
      <w:lang w:val="be-BY"/>
    </w:rPr>
  </w:style>
  <w:style w:type="paragraph" w:styleId="NoSpacing">
    <w:name w:val="No Spacing"/>
    <w:uiPriority w:val="99"/>
    <w:qFormat/>
    <w:rsid w:val="00E162DC"/>
    <w:pPr>
      <w:ind w:firstLine="709"/>
      <w:jc w:val="both"/>
    </w:pPr>
    <w:rPr>
      <w:rFonts w:eastAsia="SimSun"/>
      <w:lang w:val="be-BY" w:eastAsia="en-US"/>
    </w:rPr>
  </w:style>
  <w:style w:type="paragraph" w:styleId="ListParagraph">
    <w:name w:val="List Paragraph"/>
    <w:basedOn w:val="Normal"/>
    <w:uiPriority w:val="99"/>
    <w:qFormat/>
    <w:rsid w:val="0063178F"/>
    <w:pPr>
      <w:spacing w:after="200" w:line="276" w:lineRule="auto"/>
      <w:ind w:left="720" w:firstLine="0"/>
      <w:contextualSpacing/>
      <w:jc w:val="left"/>
    </w:pPr>
    <w:rPr>
      <w:rFonts w:eastAsia="Calibri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A7F11"/>
    <w:rPr>
      <w:rFonts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A7F11"/>
    <w:pPr>
      <w:widowControl w:val="0"/>
      <w:shd w:val="clear" w:color="auto" w:fill="FFFFFF"/>
      <w:spacing w:before="4740" w:line="240" w:lineRule="atLeast"/>
      <w:ind w:firstLine="0"/>
      <w:jc w:val="left"/>
    </w:pPr>
    <w:rPr>
      <w:rFonts w:eastAsia="Calibri"/>
      <w:sz w:val="16"/>
      <w:szCs w:val="16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6151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5BA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5BA8"/>
    <w:rPr>
      <w:rFonts w:ascii="Calibri" w:eastAsia="SimSun" w:hAnsi="Calibri" w:cs="Times New Roman"/>
      <w:lang w:val="be-BY"/>
    </w:rPr>
  </w:style>
  <w:style w:type="character" w:styleId="PlaceholderText">
    <w:name w:val="Placeholder Text"/>
    <w:basedOn w:val="DefaultParagraphFont"/>
    <w:uiPriority w:val="99"/>
    <w:semiHidden/>
    <w:rsid w:val="008743E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74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3E1"/>
    <w:rPr>
      <w:rFonts w:ascii="Tahoma" w:eastAsia="SimSun" w:hAnsi="Tahoma" w:cs="Tahoma"/>
      <w:sz w:val="16"/>
      <w:szCs w:val="16"/>
      <w:lang w:val="be-BY"/>
    </w:rPr>
  </w:style>
  <w:style w:type="character" w:styleId="CommentReference">
    <w:name w:val="annotation reference"/>
    <w:basedOn w:val="DefaultParagraphFont"/>
    <w:uiPriority w:val="99"/>
    <w:semiHidden/>
    <w:rsid w:val="006945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4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4500"/>
    <w:rPr>
      <w:rFonts w:eastAsia="SimSun" w:cs="Times New Roman"/>
      <w:lang w:val="be-BY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4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8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emchenko@belaz.minsk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belaz.minsk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.Demchenko@belaz.mins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belaz.minsk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1034</Words>
  <Characters>5898</Characters>
  <Application>Microsoft Office Outlook</Application>
  <DocSecurity>0</DocSecurity>
  <Lines>0</Lines>
  <Paragraphs>0</Paragraphs>
  <ScaleCrop>false</ScaleCrop>
  <Company>Национальное агентство инвестиций и приватизации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предложения инвестиционного проекта</dc:title>
  <dc:subject/>
  <dc:creator>Catherine Filist</dc:creator>
  <cp:keywords/>
  <dc:description/>
  <cp:lastModifiedBy>admin</cp:lastModifiedBy>
  <cp:revision>3</cp:revision>
  <cp:lastPrinted>2016-12-09T12:39:00Z</cp:lastPrinted>
  <dcterms:created xsi:type="dcterms:W3CDTF">2017-01-20T12:25:00Z</dcterms:created>
  <dcterms:modified xsi:type="dcterms:W3CDTF">2017-01-20T12:44:00Z</dcterms:modified>
</cp:coreProperties>
</file>